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E08AAB" w14:textId="77777777" w:rsidR="00BE6B3E" w:rsidRDefault="00BE6B3E" w:rsidP="00E97C11">
      <w:pPr>
        <w:rPr>
          <w:b/>
          <w:bCs/>
        </w:rPr>
      </w:pPr>
    </w:p>
    <w:p w14:paraId="1C041ED8" w14:textId="3996F668" w:rsidR="00BE6B3E" w:rsidRDefault="00E97C11" w:rsidP="00E97C11">
      <w:pPr>
        <w:rPr>
          <w:b/>
          <w:bCs/>
        </w:rPr>
      </w:pPr>
      <w:r w:rsidRPr="00E97C11">
        <w:rPr>
          <w:b/>
          <w:bCs/>
        </w:rPr>
        <w:t>DOCUMENTO DE OBSERVACIONES OFICIALES</w:t>
      </w:r>
    </w:p>
    <w:p w14:paraId="6390AD7D" w14:textId="77777777" w:rsidR="0098081E" w:rsidRPr="00E97C11" w:rsidRDefault="0098081E" w:rsidP="00E97C11">
      <w:pPr>
        <w:rPr>
          <w:b/>
          <w:bCs/>
        </w:rPr>
      </w:pPr>
    </w:p>
    <w:p w14:paraId="2612CA7A" w14:textId="77777777" w:rsidR="00E97C11" w:rsidRPr="00E97C11" w:rsidRDefault="00E97C11" w:rsidP="00E97C11">
      <w:r w:rsidRPr="00E97C11">
        <w:rPr>
          <w:b/>
          <w:bCs/>
        </w:rPr>
        <w:t>EN EL MARCO DE LA CONSULTA INDÍGENA NACIONAL</w:t>
      </w:r>
      <w:r w:rsidRPr="00E97C11">
        <w:br/>
      </w:r>
      <w:r w:rsidRPr="00E97C11">
        <w:rPr>
          <w:b/>
          <w:bCs/>
        </w:rPr>
        <w:t>SOBRE LOS REGLAMENTOS DEL SBAP (LEY N° 21.600)</w:t>
      </w:r>
    </w:p>
    <w:p w14:paraId="39EE7D31" w14:textId="78ACBA51" w:rsidR="00E97C11" w:rsidRPr="00E97C11" w:rsidRDefault="00E97C11" w:rsidP="00E97C11">
      <w:r w:rsidRPr="00E97C11">
        <w:rPr>
          <w:b/>
          <w:bCs/>
        </w:rPr>
        <w:t>Destinatario:</w:t>
      </w:r>
      <w:r w:rsidRPr="00E97C11">
        <w:t> Ministerio del Medio Ambiente de Chile</w:t>
      </w:r>
      <w:r w:rsidRPr="00E97C11">
        <w:br/>
      </w:r>
      <w:r w:rsidRPr="00E97C11">
        <w:rPr>
          <w:b/>
          <w:bCs/>
        </w:rPr>
        <w:t>Materia:</w:t>
      </w:r>
      <w:r w:rsidRPr="00E97C11">
        <w:t> Observaciones y Propuestas para los Reglamentos de Áreas Protegidas y de Determinación de Sitios Prioritarios de la Ley 21.600, desde la perspectiva de las Comunidades Costeras de Tarapacá.</w:t>
      </w:r>
      <w:r w:rsidRPr="00E97C11">
        <w:br/>
      </w:r>
      <w:r w:rsidRPr="00E97C11">
        <w:rPr>
          <w:b/>
          <w:bCs/>
        </w:rPr>
        <w:t>Presenta:</w:t>
      </w:r>
      <w:r w:rsidRPr="00E97C11">
        <w:t> </w:t>
      </w:r>
      <w:r>
        <w:rPr>
          <w:b/>
          <w:bCs/>
        </w:rPr>
        <w:t>Mesa Consulta indígena costera de Tarapacá.</w:t>
      </w:r>
      <w:r w:rsidRPr="00E97C11">
        <w:br/>
      </w:r>
      <w:r w:rsidRPr="00E97C11">
        <w:rPr>
          <w:b/>
          <w:bCs/>
        </w:rPr>
        <w:t>Representante Legal:</w:t>
      </w:r>
      <w:r w:rsidRPr="00E97C11">
        <w:t> </w:t>
      </w:r>
      <w:r w:rsidRPr="00E97C11">
        <w:rPr>
          <w:b/>
          <w:bCs/>
        </w:rPr>
        <w:t xml:space="preserve">Luis Alfredo Araya </w:t>
      </w:r>
      <w:r w:rsidR="000643B1">
        <w:rPr>
          <w:b/>
          <w:bCs/>
        </w:rPr>
        <w:t>Ar</w:t>
      </w:r>
      <w:r w:rsidRPr="00E97C11">
        <w:rPr>
          <w:b/>
          <w:bCs/>
        </w:rPr>
        <w:t>acena</w:t>
      </w:r>
      <w:r w:rsidRPr="00E97C11">
        <w:t>, Presidente</w:t>
      </w:r>
      <w:r w:rsidRPr="00E97C11">
        <w:br/>
      </w:r>
      <w:r w:rsidRPr="00E97C11">
        <w:rPr>
          <w:b/>
          <w:bCs/>
        </w:rPr>
        <w:t>En Representación de</w:t>
      </w:r>
      <w:r w:rsidR="009B151F">
        <w:rPr>
          <w:b/>
          <w:bCs/>
        </w:rPr>
        <w:t xml:space="preserve"> </w:t>
      </w:r>
      <w:r>
        <w:rPr>
          <w:b/>
          <w:bCs/>
        </w:rPr>
        <w:t xml:space="preserve">las comunidades indígenas del territorio costero: </w:t>
      </w:r>
      <w:proofErr w:type="spellStart"/>
      <w:r>
        <w:rPr>
          <w:b/>
          <w:bCs/>
        </w:rPr>
        <w:t>chanavaya</w:t>
      </w:r>
      <w:proofErr w:type="spellEnd"/>
      <w:r>
        <w:rPr>
          <w:b/>
          <w:bCs/>
        </w:rPr>
        <w:t xml:space="preserve">, cáñamo, </w:t>
      </w:r>
      <w:proofErr w:type="spellStart"/>
      <w:r>
        <w:rPr>
          <w:b/>
          <w:bCs/>
        </w:rPr>
        <w:t>chanavayita</w:t>
      </w:r>
      <w:proofErr w:type="spellEnd"/>
      <w:r>
        <w:rPr>
          <w:b/>
          <w:bCs/>
        </w:rPr>
        <w:t xml:space="preserve"> y </w:t>
      </w:r>
      <w:proofErr w:type="spellStart"/>
      <w:r>
        <w:rPr>
          <w:b/>
          <w:bCs/>
        </w:rPr>
        <w:t>caramucho</w:t>
      </w:r>
      <w:proofErr w:type="spellEnd"/>
      <w:r w:rsidR="00AA6188">
        <w:rPr>
          <w:b/>
          <w:bCs/>
        </w:rPr>
        <w:t>.</w:t>
      </w:r>
    </w:p>
    <w:p w14:paraId="0D459699" w14:textId="47E5AAA7" w:rsidR="00E97C11" w:rsidRPr="00E97C11" w:rsidRDefault="00E97C11" w:rsidP="00E97C11"/>
    <w:p w14:paraId="41AF1E3C" w14:textId="77777777" w:rsidR="00E97C11" w:rsidRPr="00E97C11" w:rsidRDefault="00E97C11" w:rsidP="00E97C11">
      <w:pPr>
        <w:rPr>
          <w:b/>
          <w:bCs/>
        </w:rPr>
      </w:pPr>
      <w:r w:rsidRPr="00E97C11">
        <w:rPr>
          <w:b/>
          <w:bCs/>
        </w:rPr>
        <w:t>I. INTRODUCCIÓN</w:t>
      </w:r>
    </w:p>
    <w:p w14:paraId="7627B58A" w14:textId="720A049E" w:rsidR="00E97C11" w:rsidRPr="00E97C11" w:rsidRDefault="00E97C11" w:rsidP="00E97C11">
      <w:r w:rsidRPr="00E97C11">
        <w:t>De la manera más atenta, la </w:t>
      </w:r>
      <w:r>
        <w:rPr>
          <w:b/>
          <w:bCs/>
        </w:rPr>
        <w:t>Mesa Consulta indígena costera de Tarapacá</w:t>
      </w:r>
      <w:r w:rsidRPr="00E97C11">
        <w:t>, representante legítima del </w:t>
      </w:r>
      <w:r w:rsidRPr="00E97C11">
        <w:rPr>
          <w:b/>
          <w:bCs/>
        </w:rPr>
        <w:t>Pueblo Chango</w:t>
      </w:r>
      <w:r w:rsidRPr="00E97C11">
        <w:t> y de las comunidades </w:t>
      </w:r>
      <w:r w:rsidRPr="00E97C11">
        <w:rPr>
          <w:b/>
          <w:bCs/>
        </w:rPr>
        <w:t>Camanchacas</w:t>
      </w:r>
      <w:r w:rsidRPr="00E97C11">
        <w:t xml:space="preserve"> de la caleta </w:t>
      </w:r>
      <w:proofErr w:type="spellStart"/>
      <w:r>
        <w:rPr>
          <w:b/>
          <w:bCs/>
        </w:rPr>
        <w:t>chanavaya</w:t>
      </w:r>
      <w:proofErr w:type="spellEnd"/>
      <w:r>
        <w:rPr>
          <w:b/>
          <w:bCs/>
        </w:rPr>
        <w:t xml:space="preserve">, cáñamo, </w:t>
      </w:r>
      <w:proofErr w:type="spellStart"/>
      <w:r>
        <w:rPr>
          <w:b/>
          <w:bCs/>
        </w:rPr>
        <w:t>chanavayita</w:t>
      </w:r>
      <w:proofErr w:type="spellEnd"/>
      <w:r>
        <w:rPr>
          <w:b/>
          <w:bCs/>
        </w:rPr>
        <w:t xml:space="preserve"> y </w:t>
      </w:r>
      <w:proofErr w:type="spellStart"/>
      <w:r>
        <w:rPr>
          <w:b/>
          <w:bCs/>
        </w:rPr>
        <w:t>caramucho</w:t>
      </w:r>
      <w:proofErr w:type="spellEnd"/>
      <w:proofErr w:type="gramStart"/>
      <w:r>
        <w:rPr>
          <w:b/>
          <w:bCs/>
        </w:rPr>
        <w:t>.</w:t>
      </w:r>
      <w:r w:rsidRPr="00E97C11">
        <w:t> ,</w:t>
      </w:r>
      <w:proofErr w:type="gramEnd"/>
      <w:r w:rsidRPr="00E97C11">
        <w:t xml:space="preserve"> cuyo territorio ancestral de vida, cultura y espiritualidad se entrelaza indisolublemente con el mar y la costa de la Región de Tarapacá, y que se superpone específicamente con la </w:t>
      </w:r>
      <w:r w:rsidRPr="00E97C11">
        <w:rPr>
          <w:b/>
          <w:bCs/>
        </w:rPr>
        <w:t>AMCP-MU "Litoral de Iquique"</w:t>
      </w:r>
      <w:r w:rsidR="00820386">
        <w:t>.</w:t>
      </w:r>
    </w:p>
    <w:p w14:paraId="6C6C75DA" w14:textId="77777777" w:rsidR="00E97C11" w:rsidRPr="00E97C11" w:rsidRDefault="00E97C11" w:rsidP="00E97C11">
      <w:r w:rsidRPr="00E97C11">
        <w:t>Ejercitamos nuestro derecho al </w:t>
      </w:r>
      <w:r w:rsidRPr="00E97C11">
        <w:rPr>
          <w:b/>
          <w:bCs/>
        </w:rPr>
        <w:t>consentimiento libre, previo e informado</w:t>
      </w:r>
      <w:r w:rsidRPr="00E97C11">
        <w:t> (Convenio 169 OIT), manifestando nuestra profunda preocupación porque este proceso se realice de manera tardía y apresurada para nuestra comunidad, vulnerando el estándar de una consulta adecuada. Nuestra participación se funda en el texto de la </w:t>
      </w:r>
      <w:r w:rsidRPr="00E97C11">
        <w:rPr>
          <w:b/>
          <w:bCs/>
        </w:rPr>
        <w:t>Ley N° 21.600</w:t>
      </w:r>
      <w:r w:rsidRPr="00E97C11">
        <w:t>, publicada el 6 de septiembre de 2023, y en nuestra lucha histórica por el reconocimiento y la defensa de nuestro territorio costero.</w:t>
      </w:r>
    </w:p>
    <w:p w14:paraId="17F21CD1" w14:textId="142E1B9A" w:rsidR="00E97C11" w:rsidRPr="00E97C11" w:rsidRDefault="00E97C11" w:rsidP="00E97C11"/>
    <w:p w14:paraId="3E4831B4" w14:textId="77777777" w:rsidR="00E97C11" w:rsidRPr="00E97C11" w:rsidRDefault="00E97C11" w:rsidP="00E97C11">
      <w:pPr>
        <w:rPr>
          <w:b/>
          <w:bCs/>
        </w:rPr>
      </w:pPr>
      <w:r w:rsidRPr="00E97C11">
        <w:rPr>
          <w:b/>
          <w:bCs/>
        </w:rPr>
        <w:t>II. POSTURA GENERAL: CONTEXTO HISTÓRICO DE LUCHA Y DEFENSA TERRITORIAL</w:t>
      </w:r>
    </w:p>
    <w:p w14:paraId="72A78D92" w14:textId="77777777" w:rsidR="00E97C11" w:rsidRDefault="00E97C11" w:rsidP="00E97C11">
      <w:r w:rsidRPr="00E97C11">
        <w:t>Valoramos el reconocimiento legal del Pueblo Chango y la creación del SBAP. Sin embargo, observamos con </w:t>
      </w:r>
      <w:r w:rsidRPr="00E97C11">
        <w:rPr>
          <w:b/>
          <w:bCs/>
        </w:rPr>
        <w:t>extrema preocupación</w:t>
      </w:r>
      <w:r w:rsidRPr="00E97C11">
        <w:t xml:space="preserve"> que la ley y sus futuros reglamentos repiten el patrón histórico de </w:t>
      </w:r>
      <w:proofErr w:type="spellStart"/>
      <w:r w:rsidRPr="00E97C11">
        <w:t>invisibilización</w:t>
      </w:r>
      <w:proofErr w:type="spellEnd"/>
      <w:r w:rsidRPr="00E97C11">
        <w:t xml:space="preserve"> y exclusión que hemos enfrentado por décadas.</w:t>
      </w:r>
    </w:p>
    <w:p w14:paraId="33FA823D" w14:textId="72555701" w:rsidR="007E0501" w:rsidRPr="00E97C11" w:rsidRDefault="007E0501" w:rsidP="00E97C11">
      <w:r>
        <w:lastRenderedPageBreak/>
        <w:t xml:space="preserve">Es de suma prioridad considerar en la consulta a quienes participan del rubro en todas las caletas del borde costero de </w:t>
      </w:r>
      <w:r w:rsidR="002A678C">
        <w:t>Tarapacá</w:t>
      </w:r>
      <w:r>
        <w:t xml:space="preserve">. </w:t>
      </w:r>
    </w:p>
    <w:p w14:paraId="20EF094F" w14:textId="5E4F8986" w:rsidR="00E97C11" w:rsidRPr="00E97C11" w:rsidRDefault="00E97C11" w:rsidP="00E97C11">
      <w:r w:rsidRPr="00E97C11">
        <w:rPr>
          <w:b/>
          <w:bCs/>
        </w:rPr>
        <w:t>Nuestro historial de lucha no es abstracto.</w:t>
      </w:r>
      <w:r w:rsidRPr="00E97C11">
        <w:t> </w:t>
      </w:r>
      <w:r>
        <w:t>Por</w:t>
      </w:r>
      <w:r w:rsidRPr="00E97C11">
        <w:t xml:space="preserve"> años, </w:t>
      </w:r>
      <w:r>
        <w:t>la comunidad de cazadores recolectores</w:t>
      </w:r>
      <w:r w:rsidRPr="00E97C11">
        <w:t> ha resistido activamente a:</w:t>
      </w:r>
    </w:p>
    <w:p w14:paraId="0D44EB80" w14:textId="77777777" w:rsidR="00E97C11" w:rsidRPr="00E97C11" w:rsidRDefault="00E97C11" w:rsidP="00E97C11">
      <w:pPr>
        <w:numPr>
          <w:ilvl w:val="0"/>
          <w:numId w:val="1"/>
        </w:numPr>
      </w:pPr>
      <w:r w:rsidRPr="00E97C11">
        <w:rPr>
          <w:b/>
          <w:bCs/>
        </w:rPr>
        <w:t>La contaminación industrial</w:t>
      </w:r>
      <w:r w:rsidRPr="00E97C11">
        <w:t> de la minería y la industria portuaria, que ha degradado nuestros ecosistemas marinos y afectado críticamente nuestra actividad pesquera artesanal, base de nuestra subsistencia y cultura.</w:t>
      </w:r>
    </w:p>
    <w:p w14:paraId="280B5223" w14:textId="77777777" w:rsidR="00E97C11" w:rsidRPr="00E97C11" w:rsidRDefault="00E97C11" w:rsidP="00E97C11">
      <w:pPr>
        <w:numPr>
          <w:ilvl w:val="0"/>
          <w:numId w:val="1"/>
        </w:numPr>
      </w:pPr>
      <w:r w:rsidRPr="00E97C11">
        <w:rPr>
          <w:b/>
          <w:bCs/>
        </w:rPr>
        <w:t>La presión de megaproyectos</w:t>
      </w:r>
      <w:r w:rsidRPr="00E97C11">
        <w:t> que amenazan con privatizar y destruir nuestro borde costero, único y frágil.</w:t>
      </w:r>
    </w:p>
    <w:p w14:paraId="555ACAE0" w14:textId="77777777" w:rsidR="00E97C11" w:rsidRPr="00E97C11" w:rsidRDefault="00E97C11" w:rsidP="00E97C11">
      <w:pPr>
        <w:numPr>
          <w:ilvl w:val="0"/>
          <w:numId w:val="1"/>
        </w:numPr>
      </w:pPr>
      <w:r w:rsidRPr="00E97C11">
        <w:rPr>
          <w:b/>
          <w:bCs/>
        </w:rPr>
        <w:t>La falta de reconocimiento efectivo</w:t>
      </w:r>
      <w:r w:rsidRPr="00E97C11">
        <w:t> de nuestros derechos de uso consuetudinario y nuestra gobernanza ancestral sobre el mar y la costa.</w:t>
      </w:r>
    </w:p>
    <w:p w14:paraId="1725DC21" w14:textId="04CD3A3B" w:rsidR="00E97C11" w:rsidRPr="00E97C11" w:rsidRDefault="00E97C11" w:rsidP="00E97C11">
      <w:r w:rsidRPr="00E97C11">
        <w:t>La ambigüedad de la Ley 21.600, que delega en los reglamentos la protección concreta de nuestros derechos, genera un </w:t>
      </w:r>
      <w:r w:rsidRPr="00E97C11">
        <w:rPr>
          <w:b/>
          <w:bCs/>
        </w:rPr>
        <w:t>riesgo real de que se consagre una conservación sin pueblos</w:t>
      </w:r>
      <w:r w:rsidRPr="00E97C11">
        <w:t>, donde las áreas protegidas se declaren sobre nuestros territorios sin nuestro consentimiento y se restrinjan nuestras prácticas ancestrales, mientras se permiten actividades industriales destructivas. Exigimos que los reglamentos corrijan esta omisión con </w:t>
      </w:r>
      <w:r w:rsidRPr="00E97C11">
        <w:rPr>
          <w:b/>
          <w:bCs/>
        </w:rPr>
        <w:t>máxima especificidad</w:t>
      </w:r>
      <w:r w:rsidRPr="00E97C11">
        <w:t>.</w:t>
      </w:r>
    </w:p>
    <w:p w14:paraId="227A8EEB" w14:textId="63321A76" w:rsidR="00E97C11" w:rsidRPr="00E97C11" w:rsidRDefault="00E97C11" w:rsidP="00E97C11"/>
    <w:p w14:paraId="52C9984C" w14:textId="77777777" w:rsidR="00E97C11" w:rsidRPr="00E97C11" w:rsidRDefault="00E97C11" w:rsidP="00E97C11">
      <w:pPr>
        <w:rPr>
          <w:b/>
          <w:bCs/>
        </w:rPr>
      </w:pPr>
      <w:r w:rsidRPr="00E97C11">
        <w:rPr>
          <w:b/>
          <w:bCs/>
        </w:rPr>
        <w:t>III. OBSERVACIONES ESPECÍFICAS Y EXIGENCIAS SUSTANTIVAS PARA LOS REGLAMENTOS</w:t>
      </w:r>
    </w:p>
    <w:p w14:paraId="1AE48E07" w14:textId="77777777" w:rsidR="00E97C11" w:rsidRPr="00E97C11" w:rsidRDefault="00E97C11" w:rsidP="00E97C11">
      <w:pPr>
        <w:rPr>
          <w:b/>
          <w:bCs/>
        </w:rPr>
      </w:pPr>
      <w:r w:rsidRPr="00E97C11">
        <w:rPr>
          <w:b/>
          <w:bCs/>
        </w:rPr>
        <w:t>1. Respecto al Artículo 68 (Convenios de Gestión)</w:t>
      </w:r>
    </w:p>
    <w:p w14:paraId="4D296408" w14:textId="77777777" w:rsidR="00E97C11" w:rsidRPr="00E97C11" w:rsidRDefault="00E97C11" w:rsidP="00E97C11">
      <w:r w:rsidRPr="00E97C11">
        <w:rPr>
          <w:b/>
          <w:bCs/>
        </w:rPr>
        <w:t>Exigencia:</w:t>
      </w:r>
      <w:r w:rsidRPr="00E97C11">
        <w:t> El reglamento debe establecer que los "convenios de gestión" en Áreas Marinas Costeras Protegidas (AMCP) con presencia de comunidades costeras serán, por defecto, </w:t>
      </w:r>
      <w:r w:rsidRPr="00E97C11">
        <w:rPr>
          <w:b/>
          <w:bCs/>
        </w:rPr>
        <w:t xml:space="preserve">convenios de </w:t>
      </w:r>
      <w:proofErr w:type="spellStart"/>
      <w:r w:rsidRPr="00E97C11">
        <w:rPr>
          <w:b/>
          <w:bCs/>
        </w:rPr>
        <w:t>co</w:t>
      </w:r>
      <w:proofErr w:type="spellEnd"/>
      <w:r w:rsidRPr="00E97C11">
        <w:rPr>
          <w:b/>
          <w:bCs/>
        </w:rPr>
        <w:t>-administración</w:t>
      </w:r>
      <w:r w:rsidRPr="00E97C11">
        <w:t>. Esto implica:</w:t>
      </w:r>
    </w:p>
    <w:p w14:paraId="47EF574E" w14:textId="77777777" w:rsidR="00E97C11" w:rsidRPr="00E97C11" w:rsidRDefault="00E97C11" w:rsidP="00E97C11">
      <w:pPr>
        <w:numPr>
          <w:ilvl w:val="0"/>
          <w:numId w:val="2"/>
        </w:numPr>
      </w:pPr>
      <w:r w:rsidRPr="00E97C11">
        <w:t>La </w:t>
      </w:r>
      <w:r w:rsidRPr="00E97C11">
        <w:rPr>
          <w:b/>
          <w:bCs/>
        </w:rPr>
        <w:t>transferencia obligatoria de recursos financieros y técnicos</w:t>
      </w:r>
      <w:r w:rsidRPr="00E97C11">
        <w:t> del SBAP a nuestra Asociación para la vigilancia, monitoreo y gestión participativa del área que habitamos.</w:t>
      </w:r>
    </w:p>
    <w:p w14:paraId="43F5215B" w14:textId="4F804AE3" w:rsidR="00E97C11" w:rsidRPr="00E97C11" w:rsidRDefault="00E97C11" w:rsidP="00E97C11">
      <w:pPr>
        <w:numPr>
          <w:ilvl w:val="0"/>
          <w:numId w:val="2"/>
        </w:numPr>
      </w:pPr>
      <w:r w:rsidRPr="00E97C11">
        <w:t>La </w:t>
      </w:r>
      <w:r w:rsidRPr="00E97C11">
        <w:rPr>
          <w:b/>
          <w:bCs/>
        </w:rPr>
        <w:t>integración obligatoria de nuestro conocimiento ecológico tradicional chango y camanchac</w:t>
      </w:r>
      <w:r w:rsidR="00B60ADE">
        <w:rPr>
          <w:b/>
          <w:bCs/>
        </w:rPr>
        <w:t xml:space="preserve">a, </w:t>
      </w:r>
      <w:r w:rsidR="00D14A35">
        <w:rPr>
          <w:b/>
          <w:bCs/>
        </w:rPr>
        <w:t xml:space="preserve">Aymara, Mapuche, y todos los pueblos originarios </w:t>
      </w:r>
      <w:r w:rsidRPr="00E97C11">
        <w:t>en los planes de manejo.</w:t>
      </w:r>
    </w:p>
    <w:p w14:paraId="2E0D679E" w14:textId="77777777" w:rsidR="00E97C11" w:rsidRPr="00E97C11" w:rsidRDefault="00E97C11" w:rsidP="00E97C11">
      <w:pPr>
        <w:numPr>
          <w:ilvl w:val="0"/>
          <w:numId w:val="2"/>
        </w:numPr>
      </w:pPr>
      <w:r w:rsidRPr="00E97C11">
        <w:t>Una </w:t>
      </w:r>
      <w:r w:rsidRPr="00E97C11">
        <w:rPr>
          <w:b/>
          <w:bCs/>
        </w:rPr>
        <w:t>duración mínima de 15 años</w:t>
      </w:r>
      <w:r w:rsidRPr="00E97C11">
        <w:t>, renovable, que refleje la permanencia de nuestra relación con el territorio.</w:t>
      </w:r>
      <w:r w:rsidRPr="00E97C11">
        <w:br/>
      </w:r>
      <w:r w:rsidRPr="00E97C11">
        <w:rPr>
          <w:i/>
          <w:iCs/>
        </w:rPr>
        <w:t>Fundamento:</w:t>
      </w:r>
      <w:r w:rsidRPr="00E97C11">
        <w:t xml:space="preserve"> Nuestra experiencia en la autogestión del territorio demuestra nuestra capacidad. Un convenio que no sea de </w:t>
      </w:r>
      <w:proofErr w:type="spellStart"/>
      <w:r w:rsidRPr="00E97C11">
        <w:t>co</w:t>
      </w:r>
      <w:proofErr w:type="spellEnd"/>
      <w:r w:rsidRPr="00E97C11">
        <w:t xml:space="preserve">-administración es una </w:t>
      </w:r>
      <w:r w:rsidRPr="00E97C11">
        <w:lastRenderedPageBreak/>
        <w:t>mera simulación que ignora nuestra historia de gestión y vulnera el </w:t>
      </w:r>
      <w:r w:rsidRPr="00E97C11">
        <w:rPr>
          <w:b/>
          <w:bCs/>
        </w:rPr>
        <w:t>Artículo 23.1 del Convenio 169</w:t>
      </w:r>
      <w:r w:rsidRPr="00E97C11">
        <w:t>.</w:t>
      </w:r>
    </w:p>
    <w:p w14:paraId="534CDDC8" w14:textId="77777777" w:rsidR="00E97C11" w:rsidRPr="00E97C11" w:rsidRDefault="00E97C11" w:rsidP="00E97C11">
      <w:pPr>
        <w:rPr>
          <w:b/>
          <w:bCs/>
        </w:rPr>
      </w:pPr>
      <w:r w:rsidRPr="00E97C11">
        <w:rPr>
          <w:b/>
          <w:bCs/>
        </w:rPr>
        <w:t>2. Respecto al Artículo 80 (Concesiones en Áreas Protegidas del Estado)</w:t>
      </w:r>
    </w:p>
    <w:p w14:paraId="46E52323" w14:textId="0AA1C60D" w:rsidR="00E97C11" w:rsidRPr="00E97C11" w:rsidRDefault="00E97C11" w:rsidP="00E97C11">
      <w:r w:rsidRPr="00E97C11">
        <w:rPr>
          <w:b/>
          <w:bCs/>
        </w:rPr>
        <w:t>Exigencia:</w:t>
      </w:r>
      <w:r w:rsidRPr="00E97C11">
        <w:t> El reglamento debe </w:t>
      </w:r>
      <w:r w:rsidRPr="00E97C11">
        <w:rPr>
          <w:b/>
          <w:bCs/>
        </w:rPr>
        <w:t>eliminar toda discrecionalidad</w:t>
      </w:r>
      <w:r w:rsidRPr="00E97C11">
        <w:t> y establecer que la </w:t>
      </w:r>
      <w:r w:rsidRPr="00E97C11">
        <w:rPr>
          <w:b/>
          <w:bCs/>
        </w:rPr>
        <w:t>consulta indígena es obligatoria y previa</w:t>
      </w:r>
      <w:r w:rsidRPr="00E97C11">
        <w:t xml:space="preserve"> para TODO otorgamiento de concesión acuícola, portuaria, minera o de cualquier índole dentro de un </w:t>
      </w:r>
      <w:proofErr w:type="gramStart"/>
      <w:r w:rsidRPr="00E97C11">
        <w:t xml:space="preserve">AMCP </w:t>
      </w:r>
      <w:r w:rsidR="0096799C">
        <w:t>,</w:t>
      </w:r>
      <w:proofErr w:type="gramEnd"/>
      <w:r w:rsidR="0096799C">
        <w:t xml:space="preserve"> </w:t>
      </w:r>
      <w:r w:rsidRPr="00E97C11">
        <w:t>sitio prioritario que solape con nuestro territorio costero</w:t>
      </w:r>
      <w:r w:rsidR="0096799C">
        <w:t>, o área colindante</w:t>
      </w:r>
      <w:r w:rsidRPr="00E97C11">
        <w:t>. La simple "evaluación" es inaceptable.</w:t>
      </w:r>
      <w:r w:rsidRPr="00E97C11">
        <w:br/>
      </w:r>
      <w:r w:rsidRPr="00E97C11">
        <w:rPr>
          <w:i/>
          <w:iCs/>
        </w:rPr>
        <w:t>Fundamento:</w:t>
      </w:r>
      <w:r w:rsidRPr="00E97C11">
        <w:t> La historia de contaminación que afecta a </w:t>
      </w:r>
      <w:r w:rsidR="0096799C">
        <w:rPr>
          <w:b/>
          <w:bCs/>
        </w:rPr>
        <w:t xml:space="preserve">el litoral costero de </w:t>
      </w:r>
      <w:proofErr w:type="spellStart"/>
      <w:r w:rsidR="0096799C">
        <w:rPr>
          <w:b/>
          <w:bCs/>
        </w:rPr>
        <w:t>tarapacá</w:t>
      </w:r>
      <w:proofErr w:type="spellEnd"/>
      <w:r w:rsidR="0096799C">
        <w:rPr>
          <w:b/>
          <w:bCs/>
        </w:rPr>
        <w:t xml:space="preserve"> </w:t>
      </w:r>
      <w:r w:rsidRPr="00E97C11">
        <w:t>por actividades industriales adyacentes es un testimonio claro de lo que sucede cuando no se nos consulta. La carga de la prueba debe invertirse: corresponde al Estado y a los promotores demostrar que NO habrá afectación directa.</w:t>
      </w:r>
    </w:p>
    <w:p w14:paraId="5F81DB9E" w14:textId="77777777" w:rsidR="00E97C11" w:rsidRPr="00E97C11" w:rsidRDefault="00E97C11" w:rsidP="00E97C11">
      <w:pPr>
        <w:rPr>
          <w:b/>
          <w:bCs/>
        </w:rPr>
      </w:pPr>
      <w:r w:rsidRPr="00E97C11">
        <w:rPr>
          <w:b/>
          <w:bCs/>
        </w:rPr>
        <w:t>3. Respecto a los Artículos 70, 115 y 116 (Usos y Costumbres Ancestrales)</w:t>
      </w:r>
    </w:p>
    <w:p w14:paraId="13D31770" w14:textId="19759760" w:rsidR="00E97C11" w:rsidRPr="00E97C11" w:rsidRDefault="00E97C11" w:rsidP="00E97C11">
      <w:r w:rsidRPr="00E97C11">
        <w:rPr>
          <w:b/>
          <w:bCs/>
        </w:rPr>
        <w:t>Exigencia:</w:t>
      </w:r>
      <w:r w:rsidRPr="00E97C11">
        <w:t> El reglamento debe reconocer específicamente como </w:t>
      </w:r>
      <w:r w:rsidRPr="00E97C11">
        <w:rPr>
          <w:b/>
          <w:bCs/>
        </w:rPr>
        <w:t>"usos y costumbres ancestrales"</w:t>
      </w:r>
      <w:r w:rsidRPr="00E97C11">
        <w:t xml:space="preserve"> del Pueblo </w:t>
      </w:r>
      <w:r w:rsidR="0096799C">
        <w:t>costero del litoral</w:t>
      </w:r>
      <w:r w:rsidRPr="00E97C11">
        <w:t>:</w:t>
      </w:r>
    </w:p>
    <w:p w14:paraId="2436F1C4" w14:textId="77777777" w:rsidR="00E97C11" w:rsidRPr="00E97C11" w:rsidRDefault="00E97C11" w:rsidP="00E97C11">
      <w:pPr>
        <w:numPr>
          <w:ilvl w:val="0"/>
          <w:numId w:val="3"/>
        </w:numPr>
      </w:pPr>
      <w:r w:rsidRPr="00E97C11">
        <w:t>La </w:t>
      </w:r>
      <w:r w:rsidRPr="00E97C11">
        <w:rPr>
          <w:b/>
          <w:bCs/>
        </w:rPr>
        <w:t>pesca artesanal con métodos y aparejos tradicionales</w:t>
      </w:r>
      <w:r w:rsidRPr="00E97C11">
        <w:t>.</w:t>
      </w:r>
    </w:p>
    <w:p w14:paraId="6AE5AA04" w14:textId="77777777" w:rsidR="00E97C11" w:rsidRPr="00E97C11" w:rsidRDefault="00E97C11" w:rsidP="00E97C11">
      <w:pPr>
        <w:numPr>
          <w:ilvl w:val="0"/>
          <w:numId w:val="3"/>
        </w:numPr>
      </w:pPr>
      <w:r w:rsidRPr="00E97C11">
        <w:t>La </w:t>
      </w:r>
      <w:r w:rsidRPr="00E97C11">
        <w:rPr>
          <w:b/>
          <w:bCs/>
        </w:rPr>
        <w:t>recolección de algas</w:t>
      </w:r>
      <w:r w:rsidRPr="00E97C11">
        <w:t> para consumo, uso ritual y medicina tradicional.</w:t>
      </w:r>
    </w:p>
    <w:p w14:paraId="07B8560A" w14:textId="77777777" w:rsidR="00E97C11" w:rsidRDefault="00E97C11" w:rsidP="00E97C11">
      <w:pPr>
        <w:numPr>
          <w:ilvl w:val="0"/>
          <w:numId w:val="3"/>
        </w:numPr>
      </w:pPr>
      <w:r w:rsidRPr="00E97C11">
        <w:t>El </w:t>
      </w:r>
      <w:r w:rsidRPr="00E97C11">
        <w:rPr>
          <w:b/>
          <w:bCs/>
        </w:rPr>
        <w:t>acceso irrestricto a las caletas, playas y humedales</w:t>
      </w:r>
      <w:r w:rsidRPr="00E97C11">
        <w:t> para prácticas ceremoniales y de subsistencia.</w:t>
      </w:r>
      <w:r w:rsidRPr="00E97C11">
        <w:br/>
        <w:t>El procedimiento de reconocimiento debe basarse en la </w:t>
      </w:r>
      <w:r w:rsidRPr="00E97C11">
        <w:rPr>
          <w:b/>
          <w:bCs/>
        </w:rPr>
        <w:t>autoidentificación de nuestra comunidad</w:t>
      </w:r>
      <w:r w:rsidRPr="00E97C11">
        <w:t> y la </w:t>
      </w:r>
      <w:r w:rsidRPr="00E97C11">
        <w:rPr>
          <w:b/>
          <w:bCs/>
        </w:rPr>
        <w:t>validación de nuestros ancianos y sabios (cultores)</w:t>
      </w:r>
      <w:r w:rsidRPr="00E97C11">
        <w:t>. La carga de probar la incompatibilidad con la conservación recae íntegramente en el SBAP.</w:t>
      </w:r>
      <w:r w:rsidRPr="00E97C11">
        <w:br/>
      </w:r>
      <w:r w:rsidRPr="00E97C11">
        <w:rPr>
          <w:i/>
          <w:iCs/>
        </w:rPr>
        <w:t>Fundamento:</w:t>
      </w:r>
      <w:r w:rsidRPr="00E97C11">
        <w:t> La criminalización de nuestra pesca artesanal, mientras se permiten concesiones industriales, es una injusticia histórica. Esto se alinea con el </w:t>
      </w:r>
      <w:r w:rsidRPr="00E97C11">
        <w:rPr>
          <w:b/>
          <w:bCs/>
        </w:rPr>
        <w:t>Artículo 14.1 del Convenio 169</w:t>
      </w:r>
      <w:r w:rsidRPr="00E97C11">
        <w:t> y el </w:t>
      </w:r>
      <w:r w:rsidRPr="00E97C11">
        <w:rPr>
          <w:b/>
          <w:bCs/>
        </w:rPr>
        <w:t>Artículo 25 de la DNUDPI</w:t>
      </w:r>
      <w:r w:rsidRPr="00E97C11">
        <w:t> sobre la relación espiritual con el territorio.</w:t>
      </w:r>
    </w:p>
    <w:p w14:paraId="589CDDED" w14:textId="66AA4CAA" w:rsidR="0096799C" w:rsidRPr="00E97C11" w:rsidRDefault="00294633" w:rsidP="0096799C">
      <w:r w:rsidRPr="00294633">
        <w:t>El Artículo 25 de la Declaración de las Naciones Unidas sobre los Derechos de los Pueblos Indígenas (DNUDPI) es un artículo fundamental que reconoce la relación espiritual especial que los pueblos indígenas tienen con sus tierras, territorios y recursos. o "Artículo 25 Los pueblos indígenas tienen derecho a mantener y fortalecer su propia relación espiritual con las tierras, territorios, aguas, mares costeros y otros recursos que tradicionalmente han poseído u ocupado y utilizado de otra forma, y a asumir las responsabilidades que a ese respecto les incumben para con las generaciones venideras."</w:t>
      </w:r>
    </w:p>
    <w:p w14:paraId="45C97767" w14:textId="77777777" w:rsidR="00E97C11" w:rsidRPr="00E97C11" w:rsidRDefault="00E97C11" w:rsidP="00E97C11">
      <w:pPr>
        <w:rPr>
          <w:b/>
          <w:bCs/>
        </w:rPr>
      </w:pPr>
      <w:r w:rsidRPr="00E97C11">
        <w:rPr>
          <w:b/>
          <w:bCs/>
        </w:rPr>
        <w:lastRenderedPageBreak/>
        <w:t>4. Respecto al Artículo 62 (Áreas de Conservación de Pueblos Indígenas - ACPI)</w:t>
      </w:r>
    </w:p>
    <w:p w14:paraId="5CF685FB" w14:textId="648F56EF" w:rsidR="00E97C11" w:rsidRPr="00E97C11" w:rsidRDefault="00E97C11" w:rsidP="00E97C11">
      <w:r w:rsidRPr="00E97C11">
        <w:rPr>
          <w:b/>
          <w:bCs/>
        </w:rPr>
        <w:t>Exigencia:</w:t>
      </w:r>
      <w:r w:rsidRPr="00E97C11">
        <w:t> El reglamento debe crear un </w:t>
      </w:r>
      <w:r w:rsidRPr="00E97C11">
        <w:rPr>
          <w:b/>
          <w:bCs/>
        </w:rPr>
        <w:t>procedimiento preferente y con financiamiento garantizado</w:t>
      </w:r>
      <w:r w:rsidRPr="00E97C11">
        <w:t> del Fondo Nacional de la Biodiversidad (Art. 46) para que nue</w:t>
      </w:r>
      <w:r w:rsidR="0096799C">
        <w:t>stras comunidades</w:t>
      </w:r>
      <w:r w:rsidRPr="00E97C11">
        <w:t xml:space="preserve"> pueda</w:t>
      </w:r>
      <w:r w:rsidR="0096799C">
        <w:t>n</w:t>
      </w:r>
      <w:r w:rsidRPr="00E97C11">
        <w:t xml:space="preserve"> declarar una </w:t>
      </w:r>
      <w:r w:rsidRPr="00E97C11">
        <w:rPr>
          <w:b/>
          <w:bCs/>
        </w:rPr>
        <w:t xml:space="preserve">Área de Conservación </w:t>
      </w:r>
      <w:r w:rsidRPr="00E97C11">
        <w:t>en nuestro territorio costero. Este apoyo debe incluir:</w:t>
      </w:r>
    </w:p>
    <w:p w14:paraId="787EC6AC" w14:textId="77777777" w:rsidR="00E97C11" w:rsidRPr="00E97C11" w:rsidRDefault="00E97C11" w:rsidP="00E97C11">
      <w:pPr>
        <w:numPr>
          <w:ilvl w:val="0"/>
          <w:numId w:val="4"/>
        </w:numPr>
      </w:pPr>
      <w:r w:rsidRPr="00E97C11">
        <w:rPr>
          <w:b/>
          <w:bCs/>
        </w:rPr>
        <w:t>Financiamiento para diagnósticos participativos</w:t>
      </w:r>
      <w:r w:rsidRPr="00E97C11">
        <w:t> que documenten nuestra biodiversidad y conocimientos.</w:t>
      </w:r>
    </w:p>
    <w:p w14:paraId="3298A22E" w14:textId="2CC36CDA" w:rsidR="00E97C11" w:rsidRPr="00E97C11" w:rsidRDefault="00E97C11" w:rsidP="00E97C11">
      <w:pPr>
        <w:numPr>
          <w:ilvl w:val="0"/>
          <w:numId w:val="4"/>
        </w:numPr>
      </w:pPr>
      <w:r w:rsidRPr="00E97C11">
        <w:rPr>
          <w:b/>
          <w:bCs/>
        </w:rPr>
        <w:t>Asistencia técnica especializada</w:t>
      </w:r>
      <w:r w:rsidRPr="00E97C11">
        <w:t> para la redacción de planes de manejo desde nuestra cosmovisión.</w:t>
      </w:r>
      <w:r w:rsidRPr="00E97C11">
        <w:br/>
      </w:r>
      <w:r w:rsidRPr="00E97C11">
        <w:rPr>
          <w:i/>
          <w:iCs/>
        </w:rPr>
        <w:t>Fundamento:</w:t>
      </w:r>
      <w:r w:rsidRPr="00E97C11">
        <w:t xml:space="preserve"> Sin recursos, el derecho a crear ACPI es letra muerta. Nuestra lucha por la defensa </w:t>
      </w:r>
      <w:r w:rsidR="0096799C">
        <w:t>del litoral costero</w:t>
      </w:r>
      <w:r w:rsidRPr="00E97C11">
        <w:t xml:space="preserve"> contra proyectos contaminantes demuestra la necesidad de herramientas reales de autodeterminación conservacionista.</w:t>
      </w:r>
    </w:p>
    <w:p w14:paraId="2492958E" w14:textId="77777777" w:rsidR="00E97C11" w:rsidRPr="00E97C11" w:rsidRDefault="00E97C11" w:rsidP="00E97C11">
      <w:pPr>
        <w:rPr>
          <w:b/>
          <w:bCs/>
        </w:rPr>
      </w:pPr>
      <w:r w:rsidRPr="00E97C11">
        <w:rPr>
          <w:b/>
          <w:bCs/>
        </w:rPr>
        <w:t>5. Respecto al Artículo 29 (Sitios Prioritarios)</w:t>
      </w:r>
    </w:p>
    <w:p w14:paraId="26803012" w14:textId="2C89AAEB" w:rsidR="00E97C11" w:rsidRPr="00E97C11" w:rsidRDefault="00E97C11" w:rsidP="00E97C11">
      <w:r w:rsidRPr="00E97C11">
        <w:rPr>
          <w:b/>
          <w:bCs/>
        </w:rPr>
        <w:t>Exigencia:</w:t>
      </w:r>
      <w:r w:rsidRPr="00E97C11">
        <w:t> El reglamento debe estipular que el </w:t>
      </w:r>
      <w:r w:rsidRPr="00E97C11">
        <w:rPr>
          <w:b/>
          <w:bCs/>
        </w:rPr>
        <w:t xml:space="preserve">Conocimiento Ecológico Tradicional (CET) </w:t>
      </w:r>
      <w:r w:rsidR="0096799C">
        <w:rPr>
          <w:b/>
          <w:bCs/>
        </w:rPr>
        <w:t>de los pueblos originarios</w:t>
      </w:r>
      <w:r w:rsidRPr="00E97C11">
        <w:t> será el </w:t>
      </w:r>
      <w:r w:rsidRPr="00E97C11">
        <w:rPr>
          <w:b/>
          <w:bCs/>
        </w:rPr>
        <w:t>criterio principal</w:t>
      </w:r>
      <w:r w:rsidRPr="00E97C11">
        <w:t> para la declaración de sitios prioritarios en nuestro litoral. La ciencia occidental deberá complementar, no suplantar, nuestro conocimiento sobre las rutas de especies, las zonas de reproducción y los lugares de significación cultural.</w:t>
      </w:r>
      <w:r w:rsidRPr="00E97C11">
        <w:br/>
      </w:r>
      <w:r w:rsidRPr="00E97C11">
        <w:rPr>
          <w:i/>
          <w:iCs/>
        </w:rPr>
        <w:t>Fundamento:</w:t>
      </w:r>
      <w:r w:rsidRPr="00E97C11">
        <w:t> Nosotros conocemos los ciclos del mar y la costa porque somos parte de él. Nuestro CET, acumulado por generaciones, es el sistema de alerta más preciso para la conservación marina, tal como lo reconoce el </w:t>
      </w:r>
      <w:r w:rsidRPr="00E97C11">
        <w:rPr>
          <w:b/>
          <w:bCs/>
        </w:rPr>
        <w:t>Artículo 31 de la DNUDPI</w:t>
      </w:r>
      <w:r w:rsidRPr="00E97C11">
        <w:t>.</w:t>
      </w:r>
    </w:p>
    <w:p w14:paraId="1EC0E0F5" w14:textId="52F6DABB" w:rsidR="00E97C11" w:rsidRPr="00E97C11" w:rsidRDefault="00E97C11" w:rsidP="00E97C11"/>
    <w:p w14:paraId="6882D63E" w14:textId="77777777" w:rsidR="00E97C11" w:rsidRPr="00E97C11" w:rsidRDefault="00E97C11" w:rsidP="00E97C11">
      <w:pPr>
        <w:rPr>
          <w:b/>
          <w:bCs/>
        </w:rPr>
      </w:pPr>
      <w:r w:rsidRPr="00E97C11">
        <w:rPr>
          <w:b/>
          <w:bCs/>
        </w:rPr>
        <w:t>IV. GARANTÍAS PROCESALES PARA UNA CONSULTA TARDÍA PERO DIGNA</w:t>
      </w:r>
    </w:p>
    <w:p w14:paraId="7E61EE0C" w14:textId="77777777" w:rsidR="00E97C11" w:rsidRPr="00E97C11" w:rsidRDefault="00E97C11" w:rsidP="00E97C11">
      <w:r w:rsidRPr="00E97C11">
        <w:t>Exigimos, en consideración a que esta etapa de consulta nos llega de manera extemporánea, las siguientes garantías mínimas e impostergables:</w:t>
      </w:r>
    </w:p>
    <w:p w14:paraId="0DF64749" w14:textId="77777777" w:rsidR="00E97C11" w:rsidRPr="00E97C11" w:rsidRDefault="00E97C11" w:rsidP="00E97C11">
      <w:pPr>
        <w:numPr>
          <w:ilvl w:val="0"/>
          <w:numId w:val="5"/>
        </w:numPr>
      </w:pPr>
      <w:r w:rsidRPr="00E97C11">
        <w:rPr>
          <w:b/>
          <w:bCs/>
        </w:rPr>
        <w:t>Traducción y contextualización</w:t>
      </w:r>
      <w:r w:rsidRPr="00E97C11">
        <w:t> de todos los documentos a un lenguaje accesible y pertinente a nuestra realidad costera.</w:t>
      </w:r>
    </w:p>
    <w:p w14:paraId="3C1977FD" w14:textId="77777777" w:rsidR="00E97C11" w:rsidRPr="00E97C11" w:rsidRDefault="00E97C11" w:rsidP="00E97C11">
      <w:pPr>
        <w:numPr>
          <w:ilvl w:val="0"/>
          <w:numId w:val="5"/>
        </w:numPr>
      </w:pPr>
      <w:r w:rsidRPr="00E97C11">
        <w:rPr>
          <w:b/>
          <w:bCs/>
        </w:rPr>
        <w:t>Asistencia técnica jurídica y ambiental independiente</w:t>
      </w:r>
      <w:r w:rsidRPr="00E97C11">
        <w:t xml:space="preserve">, financiada por el Estado, para nivelar la cancha frente a la </w:t>
      </w:r>
      <w:proofErr w:type="spellStart"/>
      <w:r w:rsidRPr="00E97C11">
        <w:t>expertise</w:t>
      </w:r>
      <w:proofErr w:type="spellEnd"/>
      <w:r w:rsidRPr="00E97C11">
        <w:t xml:space="preserve"> técnica del Ministerio.</w:t>
      </w:r>
    </w:p>
    <w:p w14:paraId="381CEECA" w14:textId="77777777" w:rsidR="00E97C11" w:rsidRPr="00E97C11" w:rsidRDefault="00E97C11" w:rsidP="00E97C11">
      <w:pPr>
        <w:numPr>
          <w:ilvl w:val="0"/>
          <w:numId w:val="5"/>
        </w:numPr>
      </w:pPr>
      <w:r w:rsidRPr="00E97C11">
        <w:rPr>
          <w:b/>
          <w:bCs/>
        </w:rPr>
        <w:t>Extensión real de los plazos</w:t>
      </w:r>
      <w:r w:rsidRPr="00E97C11">
        <w:t> de consulta, más allá de lo inicialmente previsto, para permitir una deliberación interna completa y de buena fe entre nuestros socios.</w:t>
      </w:r>
    </w:p>
    <w:p w14:paraId="490198F8" w14:textId="21F8703F" w:rsidR="00E97C11" w:rsidRPr="00E97C11" w:rsidRDefault="00E97C11" w:rsidP="00E97C11"/>
    <w:p w14:paraId="5D5636E9" w14:textId="77777777" w:rsidR="00E97C11" w:rsidRPr="00E97C11" w:rsidRDefault="00E97C11" w:rsidP="00E97C11">
      <w:pPr>
        <w:rPr>
          <w:b/>
          <w:bCs/>
        </w:rPr>
      </w:pPr>
      <w:r w:rsidRPr="00E97C11">
        <w:rPr>
          <w:b/>
          <w:bCs/>
        </w:rPr>
        <w:t>V. CONCLUSIÓN</w:t>
      </w:r>
    </w:p>
    <w:p w14:paraId="4F857A29" w14:textId="38027657" w:rsidR="00E97C11" w:rsidRPr="00E97C11" w:rsidRDefault="00E97C11" w:rsidP="00E97C11">
      <w:r w:rsidRPr="00E97C11">
        <w:t>La </w:t>
      </w:r>
      <w:r w:rsidR="0096799C">
        <w:rPr>
          <w:b/>
          <w:bCs/>
        </w:rPr>
        <w:t xml:space="preserve">Mesa de consulta indígena de la costa de </w:t>
      </w:r>
      <w:proofErr w:type="spellStart"/>
      <w:r w:rsidR="0096799C">
        <w:rPr>
          <w:b/>
          <w:bCs/>
        </w:rPr>
        <w:t>tarapacá</w:t>
      </w:r>
      <w:proofErr w:type="spellEnd"/>
      <w:r w:rsidRPr="00E97C11">
        <w:t>, heredera de una historia de resistencia y de una relación simbiótica con el mar, confía en que el Ministerio del Medio Ambiente no repetirá los errores del pasado.</w:t>
      </w:r>
    </w:p>
    <w:p w14:paraId="4EAC57DA" w14:textId="6FE9EBFB" w:rsidR="00E97C11" w:rsidRPr="00E97C11" w:rsidRDefault="00E97C11" w:rsidP="00E97C11">
      <w:r w:rsidRPr="00E97C11">
        <w:t>Solicitamos formalmente que este documento sea incorporado íntegramente en las actas y que se nos convoque a una </w:t>
      </w:r>
      <w:r w:rsidRPr="00E97C11">
        <w:rPr>
          <w:b/>
          <w:bCs/>
        </w:rPr>
        <w:t xml:space="preserve">mesa de diálogo técnico-política específica para </w:t>
      </w:r>
      <w:r w:rsidR="0096799C">
        <w:rPr>
          <w:b/>
          <w:bCs/>
        </w:rPr>
        <w:t>la Costa Tarapaqueña</w:t>
      </w:r>
      <w:r w:rsidRPr="00E97C11">
        <w:t>, donde se nos presenten las versiones preliminares de los reglamentos que incorporen estas correcciones de fondo.</w:t>
      </w:r>
    </w:p>
    <w:p w14:paraId="44B321AF" w14:textId="77777777" w:rsidR="00E97C11" w:rsidRPr="00E97C11" w:rsidRDefault="00E97C11" w:rsidP="00E97C11">
      <w:r w:rsidRPr="00E97C11">
        <w:t>No aceptaremos una conservación que nos excluya. La verdadera protección de la biodiversidad costera de Tarapacá comienza con nosotros, el pueblo que la ha habitado y defendido por generaciones.</w:t>
      </w:r>
    </w:p>
    <w:p w14:paraId="27200819" w14:textId="77777777" w:rsidR="00E97C11" w:rsidRPr="00E97C11" w:rsidRDefault="00E97C11" w:rsidP="00E97C11">
      <w:r w:rsidRPr="00E97C11">
        <w:t>Atentamente,</w:t>
      </w:r>
    </w:p>
    <w:p w14:paraId="105F96AE" w14:textId="18908137" w:rsidR="0096799C" w:rsidRDefault="00E97C11" w:rsidP="00E97C11">
      <w:pPr>
        <w:rPr>
          <w:b/>
          <w:bCs/>
        </w:rPr>
      </w:pPr>
      <w:r w:rsidRPr="00E97C11">
        <w:rPr>
          <w:b/>
          <w:bCs/>
        </w:rPr>
        <w:t xml:space="preserve">Luis Alfredo Araya </w:t>
      </w:r>
      <w:r w:rsidR="003E09ED">
        <w:rPr>
          <w:b/>
          <w:bCs/>
        </w:rPr>
        <w:t>Ar</w:t>
      </w:r>
      <w:r w:rsidRPr="00E97C11">
        <w:rPr>
          <w:b/>
          <w:bCs/>
        </w:rPr>
        <w:t>acena</w:t>
      </w:r>
      <w:r w:rsidRPr="00E97C11">
        <w:br/>
      </w:r>
      <w:r w:rsidR="0096799C">
        <w:rPr>
          <w:b/>
          <w:bCs/>
        </w:rPr>
        <w:t>Representante</w:t>
      </w:r>
    </w:p>
    <w:p w14:paraId="12E3728A" w14:textId="1AFEF6D8" w:rsidR="00E97C11" w:rsidRDefault="0096799C" w:rsidP="00E97C11">
      <w:r>
        <w:rPr>
          <w:b/>
          <w:bCs/>
        </w:rPr>
        <w:t>Mesa Consulta Indígena</w:t>
      </w:r>
      <w:r w:rsidR="00E97C11" w:rsidRPr="00E97C11">
        <w:br/>
      </w:r>
      <w:r w:rsidR="00E97C11" w:rsidRPr="00E97C11">
        <w:rPr>
          <w:b/>
          <w:bCs/>
        </w:rPr>
        <w:t>Contacto:</w:t>
      </w:r>
      <w:r w:rsidR="00E97C11" w:rsidRPr="00E97C11">
        <w:t> </w:t>
      </w:r>
      <w:hyperlink r:id="rId8" w:history="1">
        <w:r w:rsidR="003E09ED" w:rsidRPr="00901ED9">
          <w:rPr>
            <w:rStyle w:val="Hipervnculo"/>
          </w:rPr>
          <w:t>luisalfredoarayaaracena@gmail.com</w:t>
        </w:r>
      </w:hyperlink>
    </w:p>
    <w:p w14:paraId="44495AA7" w14:textId="77777777" w:rsidR="003E09ED" w:rsidRDefault="003E09ED" w:rsidP="00E97C11"/>
    <w:p w14:paraId="4294CEEC" w14:textId="77777777" w:rsidR="00EB4B19" w:rsidRPr="003B07C9" w:rsidRDefault="00EB4B19" w:rsidP="00EB4B19">
      <w:r w:rsidRPr="003B07C9">
        <w:rPr>
          <w:b/>
          <w:bCs/>
        </w:rPr>
        <w:t>¿Qué es una AMCP-MU?</w:t>
      </w:r>
    </w:p>
    <w:p w14:paraId="61D3039B" w14:textId="77777777" w:rsidR="00EB4B19" w:rsidRPr="003B07C9" w:rsidRDefault="00EB4B19" w:rsidP="00EB4B19">
      <w:r w:rsidRPr="003B07C9">
        <w:t>Una AMCP-MU es un área geográfica delimitada cuyo objetivo principal es conservar la calidad ambiental del ecosistema y la integridad del paisaje, </w:t>
      </w:r>
      <w:r w:rsidRPr="003B07C9">
        <w:rPr>
          <w:b/>
          <w:bCs/>
        </w:rPr>
        <w:t>al mismo tiempo que promueve el uso sostenible de los recursos marinos por parte de la comunidad local</w:t>
      </w:r>
      <w:r w:rsidRPr="003B07C9">
        <w:t>.</w:t>
      </w:r>
    </w:p>
    <w:p w14:paraId="773E4345" w14:textId="77777777" w:rsidR="00EB4B19" w:rsidRPr="003B07C9" w:rsidRDefault="00EB4B19" w:rsidP="00EB4B19">
      <w:r w:rsidRPr="003B07C9">
        <w:t>A diferencia de los parques marinos de protección estricta, el concepto de </w:t>
      </w:r>
      <w:r w:rsidRPr="003B07C9">
        <w:rPr>
          <w:b/>
          <w:bCs/>
        </w:rPr>
        <w:t>"Múltiples Usos"</w:t>
      </w:r>
      <w:r w:rsidRPr="003B07C9">
        <w:t> es clave. Busca equilibrar la conservación con las actividades económicas y de subsistencia responsables.</w:t>
      </w:r>
    </w:p>
    <w:p w14:paraId="2AA7B8D6" w14:textId="77777777" w:rsidR="00EB4B19" w:rsidRPr="003B07C9" w:rsidRDefault="00EB4B19" w:rsidP="00EB4B19">
      <w:r w:rsidRPr="003B07C9">
        <w:rPr>
          <w:rFonts w:ascii="Segoe UI Emoji" w:hAnsi="Segoe UI Emoji" w:cs="Segoe UI Emoji"/>
          <w:b/>
          <w:bCs/>
        </w:rPr>
        <w:t>💡</w:t>
      </w:r>
      <w:r w:rsidRPr="003B07C9">
        <w:rPr>
          <w:b/>
          <w:bCs/>
        </w:rPr>
        <w:t xml:space="preserve"> ¿Qué Significa Esta Superposición para Su Comunidad?</w:t>
      </w:r>
    </w:p>
    <w:p w14:paraId="7F6AAC80" w14:textId="77777777" w:rsidR="00EB4B19" w:rsidRPr="003B07C9" w:rsidRDefault="00EB4B19" w:rsidP="00EB4B19">
      <w:r w:rsidRPr="003B07C9">
        <w:t>La superposición implica que los planes de manejo de la "AMCP-MU Litoral de Iquique" deben considerar formalmente a su comunidad. Los siguientes ejemplos de otras AMCP-MU en Chile ilustran las posibles implicaciones:</w:t>
      </w:r>
    </w:p>
    <w:p w14:paraId="3A68A4A2" w14:textId="77777777" w:rsidR="00EB4B19" w:rsidRPr="003B07C9" w:rsidRDefault="00EB4B19" w:rsidP="00EB4B19">
      <w:pPr>
        <w:numPr>
          <w:ilvl w:val="0"/>
          <w:numId w:val="6"/>
        </w:numPr>
      </w:pPr>
      <w:r w:rsidRPr="003B07C9">
        <w:rPr>
          <w:b/>
          <w:bCs/>
        </w:rPr>
        <w:t>Reconocimiento como Actores Clave:</w:t>
      </w:r>
      <w:r w:rsidRPr="003B07C9">
        <w:t xml:space="preserve"> Los planes de manejo y administración de estas áreas son preparados conjuntamente por diferentes </w:t>
      </w:r>
      <w:r w:rsidRPr="003B07C9">
        <w:lastRenderedPageBreak/>
        <w:t>organismos gubernamentales. La comunidad local es reconocida a menudo como un custodio esencial del medio marino.</w:t>
      </w:r>
    </w:p>
    <w:p w14:paraId="5B80B7B0" w14:textId="77777777" w:rsidR="00EB4B19" w:rsidRPr="003B07C9" w:rsidRDefault="00EB4B19" w:rsidP="00EB4B19">
      <w:pPr>
        <w:numPr>
          <w:ilvl w:val="0"/>
          <w:numId w:val="6"/>
        </w:numPr>
      </w:pPr>
      <w:r w:rsidRPr="003B07C9">
        <w:rPr>
          <w:b/>
          <w:bCs/>
        </w:rPr>
        <w:t>Integración del Conocimiento Local:</w:t>
      </w:r>
      <w:r w:rsidRPr="003B07C9">
        <w:t> Existe el potencial de que su </w:t>
      </w:r>
      <w:r w:rsidRPr="003B07C9">
        <w:rPr>
          <w:b/>
          <w:bCs/>
        </w:rPr>
        <w:t>Conocimiento Ecológico Tradicional</w:t>
      </w:r>
      <w:r w:rsidRPr="003B07C9">
        <w:t> se integre en los planes de manejo oficiales del área, como se ha visto en otras localizaciones.</w:t>
      </w:r>
    </w:p>
    <w:p w14:paraId="7413B6CC" w14:textId="77777777" w:rsidR="00EB4B19" w:rsidRPr="003B07C9" w:rsidRDefault="00EB4B19" w:rsidP="00EB4B19">
      <w:pPr>
        <w:numPr>
          <w:ilvl w:val="0"/>
          <w:numId w:val="6"/>
        </w:numPr>
      </w:pPr>
      <w:r w:rsidRPr="003B07C9">
        <w:rPr>
          <w:b/>
          <w:bCs/>
        </w:rPr>
        <w:t>Fortalecimiento de Capacidades y Capacitación:</w:t>
      </w:r>
      <w:r w:rsidRPr="003B07C9">
        <w:t> La autoridad puede implementar programas de capacitación y talleres para miembros de la comunidad, empoderándolos para participar en el monitoreo del ecosistema local y la biodiversidad, lo que suele ser un requisito gubernamental.</w:t>
      </w:r>
    </w:p>
    <w:p w14:paraId="3358A479" w14:textId="77777777" w:rsidR="00EB4B19" w:rsidRPr="003B07C9" w:rsidRDefault="00EB4B19" w:rsidP="00EB4B19">
      <w:pPr>
        <w:numPr>
          <w:ilvl w:val="0"/>
          <w:numId w:val="6"/>
        </w:numPr>
      </w:pPr>
      <w:r w:rsidRPr="003B07C9">
        <w:rPr>
          <w:b/>
          <w:bCs/>
        </w:rPr>
        <w:t>El Uso Sostenible como Prioridad:</w:t>
      </w:r>
      <w:r w:rsidRPr="003B07C9">
        <w:t> El objetivo central de una AMCP-MU es promover el uso sostenible de los recursos por parte de la comunidad local. Esto respalda su demanda de que las prácticas ancestrales de pesca y recolección sean reconocidas y protegidas.</w:t>
      </w:r>
    </w:p>
    <w:p w14:paraId="6AAA933E" w14:textId="11CC2901" w:rsidR="00EB4B19" w:rsidRPr="003B07C9" w:rsidRDefault="00EB4B19" w:rsidP="00EB4B19">
      <w:r w:rsidRPr="003B07C9">
        <w:rPr>
          <w:b/>
          <w:bCs/>
        </w:rPr>
        <w:t xml:space="preserve"> Derechos y Responsabilidades en una AMCP-MU</w:t>
      </w:r>
    </w:p>
    <w:p w14:paraId="2CDF90D5" w14:textId="77777777" w:rsidR="00EB4B19" w:rsidRDefault="00EB4B19" w:rsidP="00EB4B19">
      <w:r w:rsidRPr="003B07C9">
        <w:t>La superposición establece una relación con derechos y responsabilidades específicos para su comunidad, como se muestra en la siguiente tabla:</w:t>
      </w:r>
    </w:p>
    <w:tbl>
      <w:tblPr>
        <w:tblW w:w="8889" w:type="dxa"/>
        <w:tblCellMar>
          <w:top w:w="15" w:type="dxa"/>
          <w:left w:w="15" w:type="dxa"/>
          <w:bottom w:w="15" w:type="dxa"/>
          <w:right w:w="15" w:type="dxa"/>
        </w:tblCellMar>
        <w:tblLook w:val="04A0" w:firstRow="1" w:lastRow="0" w:firstColumn="1" w:lastColumn="0" w:noHBand="0" w:noVBand="1"/>
      </w:tblPr>
      <w:tblGrid>
        <w:gridCol w:w="2403"/>
        <w:gridCol w:w="6486"/>
      </w:tblGrid>
      <w:tr w:rsidR="006D67DD" w:rsidRPr="003B07C9" w14:paraId="5F08B7AB" w14:textId="77777777" w:rsidTr="00F64B1E">
        <w:trPr>
          <w:trHeight w:val="523"/>
          <w:tblHeader/>
        </w:trPr>
        <w:tc>
          <w:tcPr>
            <w:tcW w:w="0" w:type="auto"/>
            <w:tcBorders>
              <w:top w:val="nil"/>
            </w:tcBorders>
            <w:tcMar>
              <w:top w:w="150" w:type="dxa"/>
              <w:left w:w="0" w:type="dxa"/>
              <w:bottom w:w="150" w:type="dxa"/>
              <w:right w:w="240" w:type="dxa"/>
            </w:tcMar>
            <w:vAlign w:val="center"/>
            <w:hideMark/>
          </w:tcPr>
          <w:p w14:paraId="2C0D8F4E" w14:textId="77777777" w:rsidR="006D67DD" w:rsidRPr="003B07C9" w:rsidRDefault="006D67DD" w:rsidP="00C50CD5">
            <w:r w:rsidRPr="003B07C9">
              <w:t>Aspecto</w:t>
            </w:r>
          </w:p>
        </w:tc>
        <w:tc>
          <w:tcPr>
            <w:tcW w:w="0" w:type="auto"/>
            <w:tcBorders>
              <w:top w:val="nil"/>
            </w:tcBorders>
            <w:tcMar>
              <w:top w:w="150" w:type="dxa"/>
              <w:left w:w="240" w:type="dxa"/>
              <w:bottom w:w="150" w:type="dxa"/>
              <w:right w:w="240" w:type="dxa"/>
            </w:tcMar>
            <w:vAlign w:val="center"/>
            <w:hideMark/>
          </w:tcPr>
          <w:p w14:paraId="1F3F6B6B" w14:textId="77777777" w:rsidR="006D67DD" w:rsidRPr="003B07C9" w:rsidRDefault="006D67DD" w:rsidP="00C50CD5">
            <w:r w:rsidRPr="003B07C9">
              <w:t>Lo que Significa para Su Comunidad (Basado en Ejemplos)</w:t>
            </w:r>
          </w:p>
        </w:tc>
      </w:tr>
      <w:tr w:rsidR="006D67DD" w:rsidRPr="003B07C9" w14:paraId="7FBF390E" w14:textId="77777777" w:rsidTr="00F64B1E">
        <w:trPr>
          <w:trHeight w:val="1239"/>
        </w:trPr>
        <w:tc>
          <w:tcPr>
            <w:tcW w:w="0" w:type="auto"/>
            <w:tcMar>
              <w:top w:w="150" w:type="dxa"/>
              <w:left w:w="0" w:type="dxa"/>
              <w:bottom w:w="150" w:type="dxa"/>
              <w:right w:w="240" w:type="dxa"/>
            </w:tcMar>
            <w:vAlign w:val="center"/>
            <w:hideMark/>
          </w:tcPr>
          <w:p w14:paraId="6C7B061E" w14:textId="77777777" w:rsidR="006D67DD" w:rsidRPr="003B07C9" w:rsidRDefault="006D67DD" w:rsidP="00C50CD5">
            <w:r w:rsidRPr="003B07C9">
              <w:rPr>
                <w:b/>
                <w:bCs/>
              </w:rPr>
              <w:t>Derechos Económicos y de Subsistencia</w:t>
            </w:r>
          </w:p>
        </w:tc>
        <w:tc>
          <w:tcPr>
            <w:tcW w:w="0" w:type="auto"/>
            <w:tcMar>
              <w:top w:w="150" w:type="dxa"/>
              <w:left w:w="240" w:type="dxa"/>
              <w:bottom w:w="150" w:type="dxa"/>
              <w:right w:w="0" w:type="dxa"/>
            </w:tcMar>
            <w:vAlign w:val="center"/>
            <w:hideMark/>
          </w:tcPr>
          <w:p w14:paraId="46A6956C" w14:textId="77777777" w:rsidR="006D67DD" w:rsidRPr="003B07C9" w:rsidRDefault="006D67DD" w:rsidP="00C50CD5">
            <w:r w:rsidRPr="003B07C9">
              <w:t>La </w:t>
            </w:r>
            <w:r w:rsidRPr="003B07C9">
              <w:rPr>
                <w:b/>
                <w:bCs/>
              </w:rPr>
              <w:t>pesca artesanal</w:t>
            </w:r>
            <w:r w:rsidRPr="003B07C9">
              <w:t> sostenible y la </w:t>
            </w:r>
            <w:r w:rsidRPr="003B07C9">
              <w:rPr>
                <w:b/>
                <w:bCs/>
              </w:rPr>
              <w:t>recolección de algas</w:t>
            </w:r>
            <w:r w:rsidRPr="003B07C9">
              <w:t> son reconocidas como usos compatibles. El objetivo del área es proteger el modo de vida de su comunidad de amenazas externas no sostenibles.</w:t>
            </w:r>
          </w:p>
        </w:tc>
      </w:tr>
      <w:tr w:rsidR="006D67DD" w:rsidRPr="003B07C9" w14:paraId="53154E44" w14:textId="77777777" w:rsidTr="00F64B1E">
        <w:trPr>
          <w:trHeight w:val="1239"/>
        </w:trPr>
        <w:tc>
          <w:tcPr>
            <w:tcW w:w="0" w:type="auto"/>
            <w:tcMar>
              <w:top w:w="150" w:type="dxa"/>
              <w:left w:w="0" w:type="dxa"/>
              <w:bottom w:w="150" w:type="dxa"/>
              <w:right w:w="240" w:type="dxa"/>
            </w:tcMar>
            <w:vAlign w:val="center"/>
            <w:hideMark/>
          </w:tcPr>
          <w:p w14:paraId="65FCD2B5" w14:textId="77777777" w:rsidR="006D67DD" w:rsidRPr="003B07C9" w:rsidRDefault="006D67DD" w:rsidP="00C50CD5">
            <w:r w:rsidRPr="003B07C9">
              <w:rPr>
                <w:b/>
                <w:bCs/>
              </w:rPr>
              <w:t>Participación y Gobernanza</w:t>
            </w:r>
          </w:p>
        </w:tc>
        <w:tc>
          <w:tcPr>
            <w:tcW w:w="0" w:type="auto"/>
            <w:tcMar>
              <w:top w:w="150" w:type="dxa"/>
              <w:left w:w="240" w:type="dxa"/>
              <w:bottom w:w="150" w:type="dxa"/>
              <w:right w:w="0" w:type="dxa"/>
            </w:tcMar>
            <w:vAlign w:val="center"/>
            <w:hideMark/>
          </w:tcPr>
          <w:p w14:paraId="2F2C5713" w14:textId="77777777" w:rsidR="006D67DD" w:rsidRPr="003B07C9" w:rsidRDefault="006D67DD" w:rsidP="00C50CD5">
            <w:r w:rsidRPr="003B07C9">
              <w:t>Su comunidad debe tener voz. Esto puede materializarse a través de </w:t>
            </w:r>
            <w:r w:rsidRPr="003B07C9">
              <w:rPr>
                <w:b/>
                <w:bCs/>
              </w:rPr>
              <w:t>convenios de gestión</w:t>
            </w:r>
            <w:r w:rsidRPr="003B07C9">
              <w:t>, participación en comités asesores y colaboración en el monitoreo científico.</w:t>
            </w:r>
          </w:p>
        </w:tc>
      </w:tr>
      <w:tr w:rsidR="006D67DD" w:rsidRPr="003B07C9" w14:paraId="2D0461BB" w14:textId="77777777" w:rsidTr="00F64B1E">
        <w:trPr>
          <w:trHeight w:val="882"/>
        </w:trPr>
        <w:tc>
          <w:tcPr>
            <w:tcW w:w="0" w:type="auto"/>
            <w:tcMar>
              <w:top w:w="150" w:type="dxa"/>
              <w:left w:w="0" w:type="dxa"/>
              <w:bottom w:w="150" w:type="dxa"/>
              <w:right w:w="240" w:type="dxa"/>
            </w:tcMar>
            <w:vAlign w:val="center"/>
            <w:hideMark/>
          </w:tcPr>
          <w:p w14:paraId="736862CA" w14:textId="77777777" w:rsidR="006D67DD" w:rsidRPr="003B07C9" w:rsidRDefault="006D67DD" w:rsidP="00C50CD5">
            <w:r w:rsidRPr="003B07C9">
              <w:rPr>
                <w:b/>
                <w:bCs/>
              </w:rPr>
              <w:t>Protección y Seguridad Jurídica</w:t>
            </w:r>
          </w:p>
        </w:tc>
        <w:tc>
          <w:tcPr>
            <w:tcW w:w="0" w:type="auto"/>
            <w:tcMar>
              <w:top w:w="150" w:type="dxa"/>
              <w:left w:w="240" w:type="dxa"/>
              <w:bottom w:w="150" w:type="dxa"/>
              <w:right w:w="0" w:type="dxa"/>
            </w:tcMar>
            <w:vAlign w:val="center"/>
            <w:hideMark/>
          </w:tcPr>
          <w:p w14:paraId="06A2C24B" w14:textId="77777777" w:rsidR="006D67DD" w:rsidRPr="003B07C9" w:rsidRDefault="006D67DD" w:rsidP="00C50CD5">
            <w:r w:rsidRPr="003B07C9">
              <w:t>La condición de área protegida puede ayudar a proteger su territorio de proyectos industriales a gran escala incompatibles con los objetivos de conservación.</w:t>
            </w:r>
          </w:p>
        </w:tc>
      </w:tr>
    </w:tbl>
    <w:p w14:paraId="5FF3EE65" w14:textId="77777777" w:rsidR="006D67DD" w:rsidRPr="003B07C9" w:rsidRDefault="006D67DD" w:rsidP="00EB4B19"/>
    <w:p w14:paraId="3AEDC6FD" w14:textId="77777777" w:rsidR="008A04F0" w:rsidRPr="003B07C9" w:rsidRDefault="008A04F0" w:rsidP="008A04F0">
      <w:r w:rsidRPr="003B07C9">
        <w:lastRenderedPageBreak/>
        <w:t>El </w:t>
      </w:r>
      <w:r w:rsidRPr="003B07C9">
        <w:rPr>
          <w:b/>
          <w:bCs/>
        </w:rPr>
        <w:t>Artículo 25</w:t>
      </w:r>
      <w:r w:rsidRPr="003B07C9">
        <w:t> de la Declaración de las Naciones Unidas sobre los Derechos de los Pueblos Indígenas (DNUDPI) establece el derecho fundamental de estos pueblos a mantener su relación espiritual con sus tierras y territorios tradicionales. Este artículo es central para entender la visión integral que los pueblos indígenas tienen de su entorno.</w:t>
      </w:r>
    </w:p>
    <w:p w14:paraId="6CF2FB82" w14:textId="77777777" w:rsidR="008A04F0" w:rsidRDefault="008A04F0" w:rsidP="008A04F0">
      <w:pPr>
        <w:rPr>
          <w:rFonts w:ascii="Segoe UI Emoji" w:hAnsi="Segoe UI Emoji" w:cs="Segoe UI Emoji"/>
          <w:b/>
          <w:bCs/>
        </w:rPr>
      </w:pPr>
    </w:p>
    <w:p w14:paraId="4EF799C6" w14:textId="536BE312" w:rsidR="008A04F0" w:rsidRPr="003B07C9" w:rsidRDefault="008A04F0" w:rsidP="008A04F0">
      <w:pPr>
        <w:rPr>
          <w:b/>
          <w:bCs/>
        </w:rPr>
      </w:pPr>
      <w:r w:rsidRPr="003B07C9">
        <w:rPr>
          <w:b/>
          <w:bCs/>
        </w:rPr>
        <w:t>Artículo 25 de la DNUDPI</w:t>
      </w:r>
    </w:p>
    <w:p w14:paraId="0BD30DCF" w14:textId="77777777" w:rsidR="008A04F0" w:rsidRPr="003B07C9" w:rsidRDefault="008A04F0" w:rsidP="008A04F0">
      <w:r w:rsidRPr="003B07C9">
        <w:rPr>
          <w:b/>
          <w:bCs/>
        </w:rPr>
        <w:t>Texto oficial del artículo:</w:t>
      </w:r>
    </w:p>
    <w:p w14:paraId="3AC57F9D" w14:textId="77777777" w:rsidR="008A04F0" w:rsidRPr="003B07C9" w:rsidRDefault="008A04F0" w:rsidP="008A04F0">
      <w:r w:rsidRPr="003B07C9">
        <w:t>"Los pueblos indígenas tienen derecho a mantener y fortalecer su propia relación espiritual con las tierras, territorios, aguas, mares costeros y otros recursos que tradicionalmente han poseído u ocupado y utilizado de otra forma, y a asumir las responsabilidades que a ese respecto les incumben para con las generaciones venideras".</w:t>
      </w:r>
    </w:p>
    <w:p w14:paraId="45BD7377" w14:textId="77777777" w:rsidR="008A04F0" w:rsidRPr="003B07C9" w:rsidRDefault="008A04F0" w:rsidP="008A04F0">
      <w:r w:rsidRPr="003B07C9">
        <w:rPr>
          <w:b/>
          <w:bCs/>
        </w:rPr>
        <w:t>Explicación y alcance:</w:t>
      </w:r>
      <w:r w:rsidRPr="003B07C9">
        <w:br/>
        <w:t>Este artículo reconoce que la conexión de los pueblos indígenas con su territorio no es meramente económica o física, sino profundamente </w:t>
      </w:r>
      <w:r w:rsidRPr="003B07C9">
        <w:rPr>
          <w:b/>
          <w:bCs/>
        </w:rPr>
        <w:t>espiritual, cultural e identitaria</w:t>
      </w:r>
      <w:r w:rsidRPr="003B07C9">
        <w:t>. La mención específica a "</w:t>
      </w:r>
      <w:r w:rsidRPr="003B07C9">
        <w:rPr>
          <w:b/>
          <w:bCs/>
        </w:rPr>
        <w:t>mares costeros</w:t>
      </w:r>
      <w:r w:rsidRPr="003B07C9">
        <w:t>" es de suma relevancia para comunidades como las del litoral de Tarapacá, ya que valida legalmente que su relación con el mar es una parte esencial de su cultura y, por tanto, merece protección.</w:t>
      </w:r>
    </w:p>
    <w:p w14:paraId="1003765F" w14:textId="77777777" w:rsidR="008A04F0" w:rsidRPr="003B07C9" w:rsidRDefault="008A04F0" w:rsidP="008A04F0">
      <w:r w:rsidRPr="003B07C9">
        <w:rPr>
          <w:b/>
          <w:bCs/>
        </w:rPr>
        <w:t>Elementos clave que incluye:</w:t>
      </w:r>
    </w:p>
    <w:p w14:paraId="6FE0E1B1" w14:textId="77777777" w:rsidR="008A04F0" w:rsidRPr="003B07C9" w:rsidRDefault="008A04F0" w:rsidP="008A04F0">
      <w:pPr>
        <w:numPr>
          <w:ilvl w:val="0"/>
          <w:numId w:val="7"/>
        </w:numPr>
      </w:pPr>
      <w:r w:rsidRPr="003B07C9">
        <w:rPr>
          <w:b/>
          <w:bCs/>
        </w:rPr>
        <w:t>Relación Espiritual:</w:t>
      </w:r>
      <w:r w:rsidRPr="003B07C9">
        <w:t> Se protege el vínculo no material con el territorio, que puede incluir sitios sagrados, ceremonias y una cosmovisión particular.</w:t>
      </w:r>
    </w:p>
    <w:p w14:paraId="213F3292" w14:textId="77777777" w:rsidR="008A04F0" w:rsidRPr="003B07C9" w:rsidRDefault="008A04F0" w:rsidP="008A04F0">
      <w:pPr>
        <w:numPr>
          <w:ilvl w:val="0"/>
          <w:numId w:val="7"/>
        </w:numPr>
      </w:pPr>
      <w:r w:rsidRPr="003B07C9">
        <w:rPr>
          <w:b/>
          <w:bCs/>
        </w:rPr>
        <w:t>Territorio Integral:</w:t>
      </w:r>
      <w:r w:rsidRPr="003B07C9">
        <w:t> El derecho abarca "tierras, territorios, aguas [y] mares costeros", entendiendo el ambiente como un todo interconectado.</w:t>
      </w:r>
    </w:p>
    <w:p w14:paraId="1083DAD7" w14:textId="77777777" w:rsidR="008A04F0" w:rsidRPr="003B07C9" w:rsidRDefault="008A04F0" w:rsidP="008A04F0">
      <w:pPr>
        <w:numPr>
          <w:ilvl w:val="0"/>
          <w:numId w:val="7"/>
        </w:numPr>
      </w:pPr>
      <w:r w:rsidRPr="003B07C9">
        <w:rPr>
          <w:b/>
          <w:bCs/>
        </w:rPr>
        <w:t>Responsabilidad Intergeneracional:</w:t>
      </w:r>
      <w:r w:rsidRPr="003B07C9">
        <w:t> Reconoce el deber de los pueblos indígenas de cuidar estos territorios para las futuras generaciones, reforzando su papel como guardianes legítimos del ecosistema.</w:t>
      </w:r>
    </w:p>
    <w:p w14:paraId="2D6F2EBE" w14:textId="11C4B5E9" w:rsidR="008A04F0" w:rsidRPr="003B07C9" w:rsidRDefault="008A04F0" w:rsidP="008A04F0">
      <w:pPr>
        <w:rPr>
          <w:b/>
          <w:bCs/>
        </w:rPr>
      </w:pPr>
      <w:r w:rsidRPr="003B07C9">
        <w:rPr>
          <w:b/>
          <w:bCs/>
        </w:rPr>
        <w:t xml:space="preserve"> Cómo utilizar esta información en su documento</w:t>
      </w:r>
    </w:p>
    <w:p w14:paraId="1D60F130" w14:textId="77777777" w:rsidR="008A04F0" w:rsidRPr="003B07C9" w:rsidRDefault="008A04F0" w:rsidP="008A04F0">
      <w:r w:rsidRPr="003B07C9">
        <w:t>Al citar el </w:t>
      </w:r>
      <w:r w:rsidRPr="003B07C9">
        <w:rPr>
          <w:b/>
          <w:bCs/>
        </w:rPr>
        <w:t>Artículo 25</w:t>
      </w:r>
      <w:r w:rsidRPr="003B07C9">
        <w:t> en su documento de observaciones para la Consulta Indígena del SBAP, ustedes pueden fundamentar jurídicamente sus demandas de la siguiente manera:</w:t>
      </w:r>
    </w:p>
    <w:p w14:paraId="2B1180D3" w14:textId="77777777" w:rsidR="008A04F0" w:rsidRPr="003B07C9" w:rsidRDefault="008A04F0" w:rsidP="008A04F0">
      <w:pPr>
        <w:numPr>
          <w:ilvl w:val="0"/>
          <w:numId w:val="8"/>
        </w:numPr>
      </w:pPr>
      <w:r w:rsidRPr="003B07C9">
        <w:rPr>
          <w:b/>
          <w:bCs/>
        </w:rPr>
        <w:t>Para respaldar los "usos y costumbres ancestrales" (Artículos 70, 115 y 116 de la Ley SBAP):</w:t>
      </w:r>
      <w:r w:rsidRPr="003B07C9">
        <w:t> Pueden argumentar que la </w:t>
      </w:r>
      <w:r w:rsidRPr="003B07C9">
        <w:rPr>
          <w:b/>
          <w:bCs/>
        </w:rPr>
        <w:t xml:space="preserve">pesca artesanal, la </w:t>
      </w:r>
      <w:r w:rsidRPr="003B07C9">
        <w:rPr>
          <w:b/>
          <w:bCs/>
        </w:rPr>
        <w:lastRenderedPageBreak/>
        <w:t>recolección de algas y el acceso a caletas y humedales</w:t>
      </w:r>
      <w:r w:rsidRPr="003B07C9">
        <w:t> no son solo actividades económicas, sino prácticas esenciales para mantener su relación espiritual con el mar, amparadas por este artículo.</w:t>
      </w:r>
    </w:p>
    <w:p w14:paraId="5987F5F1" w14:textId="77777777" w:rsidR="008A04F0" w:rsidRPr="003B07C9" w:rsidRDefault="008A04F0" w:rsidP="008A04F0">
      <w:pPr>
        <w:numPr>
          <w:ilvl w:val="0"/>
          <w:numId w:val="8"/>
        </w:numPr>
      </w:pPr>
      <w:r w:rsidRPr="003B07C9">
        <w:rPr>
          <w:b/>
          <w:bCs/>
        </w:rPr>
        <w:t>Para exigir participación real en la gestión de áreas protegidas:</w:t>
      </w:r>
      <w:r w:rsidRPr="003B07C9">
        <w:t> El derecho a mantener esta relación espiritual implica necesariamente el </w:t>
      </w:r>
      <w:r w:rsidRPr="003B07C9">
        <w:rPr>
          <w:b/>
          <w:bCs/>
        </w:rPr>
        <w:t>derecho a participar</w:t>
      </w:r>
      <w:r w:rsidRPr="003B07C9">
        <w:t> en las decisiones que afectan esos territorios, como la creación de Áreas de Conservación (Artículo 62) o el otorgamiento de concesiones (Artículo 80).</w:t>
      </w:r>
    </w:p>
    <w:p w14:paraId="4FF30FD7" w14:textId="77777777" w:rsidR="008A04F0" w:rsidRPr="003B07C9" w:rsidRDefault="008A04F0" w:rsidP="008A04F0">
      <w:pPr>
        <w:numPr>
          <w:ilvl w:val="0"/>
          <w:numId w:val="8"/>
        </w:numPr>
      </w:pPr>
      <w:r w:rsidRPr="003B07C9">
        <w:rPr>
          <w:b/>
          <w:bCs/>
        </w:rPr>
        <w:t>Para oponerse a proyectos destructivos:</w:t>
      </w:r>
      <w:r w:rsidRPr="003B07C9">
        <w:t> La defensa de su territorio costero frente a la contaminación industrial o los megaproyectos se convierte, bajo el amparo del Artículo 25, en la defensa de un derecho humano fundamental y no solo en una disputa ambiental o económica.</w:t>
      </w:r>
    </w:p>
    <w:p w14:paraId="3AB39D86" w14:textId="77777777" w:rsidR="008A04F0" w:rsidRPr="003B07C9" w:rsidRDefault="008A04F0" w:rsidP="008A04F0">
      <w:r w:rsidRPr="003B07C9">
        <w:rPr>
          <w:b/>
          <w:bCs/>
        </w:rPr>
        <w:t>En resumen</w:t>
      </w:r>
      <w:r w:rsidRPr="003B07C9">
        <w:t>, el Artículo 25 es la base que transforma sus demandas territoriales en una exigencia de derechos humanos de alto nivel, obligando al Estado a ir más allá de la mera consulta y a tomar medidas efectivas para proteger y respetar esta relación espiritual.</w:t>
      </w:r>
    </w:p>
    <w:p w14:paraId="2193904C" w14:textId="77777777" w:rsidR="00EB4B19" w:rsidRDefault="00EB4B19" w:rsidP="00EB4B19"/>
    <w:p w14:paraId="15861A0F" w14:textId="2C6E4685" w:rsidR="005F0093" w:rsidRDefault="005F0093" w:rsidP="00EB4B19"/>
    <w:p w14:paraId="1D941BEF" w14:textId="3503E36A" w:rsidR="002B6E56" w:rsidRDefault="002B6E56" w:rsidP="00EB4B19"/>
    <w:p w14:paraId="71382A34" w14:textId="72D86656" w:rsidR="002B6E56" w:rsidRDefault="002B6E56" w:rsidP="00EB4B19"/>
    <w:p w14:paraId="72DAF7D0" w14:textId="1619BACC" w:rsidR="002B6E56" w:rsidRDefault="002B6E56" w:rsidP="00EB4B19"/>
    <w:p w14:paraId="741FE0E0" w14:textId="773DBBAC" w:rsidR="002B6E56" w:rsidRDefault="002B6E56" w:rsidP="00EB4B19"/>
    <w:p w14:paraId="1655B7CA" w14:textId="781F6578" w:rsidR="002B6E56" w:rsidRDefault="002B6E56" w:rsidP="00EB4B19"/>
    <w:p w14:paraId="6784AE11" w14:textId="2F882F46" w:rsidR="002B6E56" w:rsidRDefault="002B6E56" w:rsidP="00EB4B19"/>
    <w:p w14:paraId="168A6ACC" w14:textId="1C3CD73B" w:rsidR="002B6E56" w:rsidRDefault="002B6E56" w:rsidP="00EB4B19"/>
    <w:p w14:paraId="6519BA10" w14:textId="4CC3F78B" w:rsidR="002B6E56" w:rsidRDefault="002B6E56" w:rsidP="00EB4B19"/>
    <w:p w14:paraId="14FC75A0" w14:textId="785B7E46" w:rsidR="002B6E56" w:rsidRDefault="002B6E56" w:rsidP="00EB4B19"/>
    <w:p w14:paraId="69084B1F" w14:textId="70E957C6" w:rsidR="002B6E56" w:rsidRDefault="002B6E56" w:rsidP="00EB4B19"/>
    <w:p w14:paraId="42D935D3" w14:textId="779847F6" w:rsidR="002B6E56" w:rsidRDefault="002B6E56" w:rsidP="00EB4B19"/>
    <w:p w14:paraId="280DA0C7" w14:textId="3C1DE545" w:rsidR="002B6E56" w:rsidRDefault="002B6E56" w:rsidP="00EB4B19"/>
    <w:p w14:paraId="61F15158" w14:textId="4494AEC2" w:rsidR="002B6E56" w:rsidRDefault="002B6E56" w:rsidP="00EB4B19"/>
    <w:p w14:paraId="17013234" w14:textId="77777777" w:rsidR="002B6E56" w:rsidRDefault="002B6E56" w:rsidP="00EB4B19"/>
    <w:p w14:paraId="6A4030A8" w14:textId="77777777" w:rsidR="00BE3F2E" w:rsidRDefault="00BE3F2E" w:rsidP="00BE3F2E">
      <w:r>
        <w:t xml:space="preserve">Se adjuntan fotos de reuniones realizadas </w:t>
      </w:r>
      <w:proofErr w:type="spellStart"/>
      <w:r>
        <w:t>via</w:t>
      </w:r>
      <w:proofErr w:type="spellEnd"/>
      <w:r>
        <w:t xml:space="preserve"> zoom: </w:t>
      </w:r>
    </w:p>
    <w:p w14:paraId="3B9794D8" w14:textId="1612163B" w:rsidR="00BE3F2E" w:rsidRDefault="00BE3F2E" w:rsidP="00BE3F2E">
      <w:r>
        <w:rPr>
          <w:noProof/>
          <w:lang w:eastAsia="es-CL"/>
        </w:rPr>
        <w:drawing>
          <wp:inline distT="0" distB="0" distL="0" distR="0" wp14:anchorId="5186D1EF" wp14:editId="2DFF23AB">
            <wp:extent cx="3503831" cy="2629041"/>
            <wp:effectExtent l="0" t="0" r="1905" b="0"/>
            <wp:docPr id="9401976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36874" cy="2653834"/>
                    </a:xfrm>
                    <a:prstGeom prst="rect">
                      <a:avLst/>
                    </a:prstGeom>
                    <a:noFill/>
                    <a:ln>
                      <a:noFill/>
                    </a:ln>
                  </pic:spPr>
                </pic:pic>
              </a:graphicData>
            </a:graphic>
          </wp:inline>
        </w:drawing>
      </w:r>
      <w:r w:rsidR="00D47DF0">
        <w:t xml:space="preserve">   </w:t>
      </w:r>
      <w:r>
        <w:rPr>
          <w:noProof/>
          <w:lang w:eastAsia="es-CL"/>
        </w:rPr>
        <w:drawing>
          <wp:inline distT="0" distB="0" distL="0" distR="0" wp14:anchorId="2E6DEF7C" wp14:editId="20321DA5">
            <wp:extent cx="3509989" cy="2633663"/>
            <wp:effectExtent l="0" t="0" r="0" b="0"/>
            <wp:docPr id="174619624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47759" cy="2662003"/>
                    </a:xfrm>
                    <a:prstGeom prst="rect">
                      <a:avLst/>
                    </a:prstGeom>
                    <a:noFill/>
                    <a:ln>
                      <a:noFill/>
                    </a:ln>
                  </pic:spPr>
                </pic:pic>
              </a:graphicData>
            </a:graphic>
          </wp:inline>
        </w:drawing>
      </w:r>
    </w:p>
    <w:p w14:paraId="4680975B" w14:textId="3B10B693" w:rsidR="00BE3F2E" w:rsidRDefault="00BE3F2E" w:rsidP="00BE3F2E">
      <w:r>
        <w:rPr>
          <w:noProof/>
          <w:lang w:eastAsia="es-CL"/>
        </w:rPr>
        <w:lastRenderedPageBreak/>
        <w:drawing>
          <wp:inline distT="0" distB="0" distL="0" distR="0" wp14:anchorId="394EE9F0" wp14:editId="383A41E8">
            <wp:extent cx="3511208" cy="2634577"/>
            <wp:effectExtent l="0" t="0" r="0" b="0"/>
            <wp:docPr id="140950467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65544" cy="2675347"/>
                    </a:xfrm>
                    <a:prstGeom prst="rect">
                      <a:avLst/>
                    </a:prstGeom>
                    <a:noFill/>
                    <a:ln>
                      <a:noFill/>
                    </a:ln>
                  </pic:spPr>
                </pic:pic>
              </a:graphicData>
            </a:graphic>
          </wp:inline>
        </w:drawing>
      </w:r>
      <w:r w:rsidR="00D47DF0">
        <w:rPr>
          <w:noProof/>
        </w:rPr>
        <w:t xml:space="preserve">   </w:t>
      </w:r>
      <w:r>
        <w:rPr>
          <w:noProof/>
          <w:lang w:eastAsia="es-CL"/>
        </w:rPr>
        <w:drawing>
          <wp:inline distT="0" distB="0" distL="0" distR="0" wp14:anchorId="5170CBBC" wp14:editId="13D046D6">
            <wp:extent cx="3494890" cy="2622332"/>
            <wp:effectExtent l="0" t="0" r="0" b="6985"/>
            <wp:docPr id="201072137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62349" cy="2672949"/>
                    </a:xfrm>
                    <a:prstGeom prst="rect">
                      <a:avLst/>
                    </a:prstGeom>
                    <a:noFill/>
                    <a:ln>
                      <a:noFill/>
                    </a:ln>
                  </pic:spPr>
                </pic:pic>
              </a:graphicData>
            </a:graphic>
          </wp:inline>
        </w:drawing>
      </w:r>
      <w:r>
        <w:rPr>
          <w:noProof/>
          <w:lang w:eastAsia="es-CL"/>
        </w:rPr>
        <w:drawing>
          <wp:inline distT="0" distB="0" distL="0" distR="0" wp14:anchorId="3B996968" wp14:editId="5254A1CE">
            <wp:extent cx="3557789" cy="2669528"/>
            <wp:effectExtent l="0" t="0" r="5080" b="0"/>
            <wp:docPr id="207232122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97749" cy="2699511"/>
                    </a:xfrm>
                    <a:prstGeom prst="rect">
                      <a:avLst/>
                    </a:prstGeom>
                    <a:noFill/>
                    <a:ln>
                      <a:noFill/>
                    </a:ln>
                  </pic:spPr>
                </pic:pic>
              </a:graphicData>
            </a:graphic>
          </wp:inline>
        </w:drawing>
      </w:r>
      <w:r w:rsidR="00D47DF0">
        <w:rPr>
          <w:noProof/>
        </w:rPr>
        <w:t xml:space="preserve">   </w:t>
      </w:r>
      <w:r>
        <w:rPr>
          <w:noProof/>
          <w:lang w:eastAsia="es-CL"/>
        </w:rPr>
        <w:lastRenderedPageBreak/>
        <w:drawing>
          <wp:inline distT="0" distB="0" distL="0" distR="0" wp14:anchorId="0FE600B7" wp14:editId="21C9B5EA">
            <wp:extent cx="3566132" cy="2675788"/>
            <wp:effectExtent l="0" t="0" r="0" b="0"/>
            <wp:docPr id="71324532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26281" cy="2720920"/>
                    </a:xfrm>
                    <a:prstGeom prst="rect">
                      <a:avLst/>
                    </a:prstGeom>
                    <a:noFill/>
                    <a:ln>
                      <a:noFill/>
                    </a:ln>
                  </pic:spPr>
                </pic:pic>
              </a:graphicData>
            </a:graphic>
          </wp:inline>
        </w:drawing>
      </w:r>
      <w:r>
        <w:rPr>
          <w:noProof/>
          <w:lang w:eastAsia="es-CL"/>
        </w:rPr>
        <w:drawing>
          <wp:inline distT="0" distB="0" distL="0" distR="0" wp14:anchorId="38D1F635" wp14:editId="23557DD9">
            <wp:extent cx="3581618" cy="2687407"/>
            <wp:effectExtent l="0" t="0" r="0" b="0"/>
            <wp:docPr id="172488555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14044" cy="2711737"/>
                    </a:xfrm>
                    <a:prstGeom prst="rect">
                      <a:avLst/>
                    </a:prstGeom>
                    <a:noFill/>
                    <a:ln>
                      <a:noFill/>
                    </a:ln>
                  </pic:spPr>
                </pic:pic>
              </a:graphicData>
            </a:graphic>
          </wp:inline>
        </w:drawing>
      </w:r>
      <w:r w:rsidR="00D47DF0">
        <w:rPr>
          <w:noProof/>
        </w:rPr>
        <w:t xml:space="preserve">   </w:t>
      </w:r>
      <w:r>
        <w:rPr>
          <w:noProof/>
          <w:lang w:eastAsia="es-CL"/>
        </w:rPr>
        <w:drawing>
          <wp:inline distT="0" distB="0" distL="0" distR="0" wp14:anchorId="321E450C" wp14:editId="59E4386C">
            <wp:extent cx="3543405" cy="2658735"/>
            <wp:effectExtent l="0" t="0" r="0" b="8890"/>
            <wp:docPr id="87781008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68868" cy="2677840"/>
                    </a:xfrm>
                    <a:prstGeom prst="rect">
                      <a:avLst/>
                    </a:prstGeom>
                    <a:noFill/>
                    <a:ln>
                      <a:noFill/>
                    </a:ln>
                  </pic:spPr>
                </pic:pic>
              </a:graphicData>
            </a:graphic>
          </wp:inline>
        </w:drawing>
      </w:r>
      <w:r>
        <w:rPr>
          <w:noProof/>
          <w:lang w:eastAsia="es-CL"/>
        </w:rPr>
        <w:lastRenderedPageBreak/>
        <w:drawing>
          <wp:inline distT="0" distB="0" distL="0" distR="0" wp14:anchorId="4644D94A" wp14:editId="722A3FF3">
            <wp:extent cx="3566593" cy="2676136"/>
            <wp:effectExtent l="0" t="0" r="0" b="0"/>
            <wp:docPr id="6041047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4715" cy="2704740"/>
                    </a:xfrm>
                    <a:prstGeom prst="rect">
                      <a:avLst/>
                    </a:prstGeom>
                    <a:noFill/>
                    <a:ln>
                      <a:noFill/>
                    </a:ln>
                  </pic:spPr>
                </pic:pic>
              </a:graphicData>
            </a:graphic>
          </wp:inline>
        </w:drawing>
      </w:r>
      <w:r w:rsidR="00BA72AA" w:rsidRPr="00BA72AA">
        <w:rPr>
          <w:noProof/>
        </w:rPr>
        <w:t xml:space="preserve"> </w:t>
      </w:r>
      <w:r w:rsidR="00D47DF0">
        <w:rPr>
          <w:noProof/>
        </w:rPr>
        <w:t xml:space="preserve">  </w:t>
      </w:r>
      <w:r w:rsidR="00BA72AA">
        <w:rPr>
          <w:noProof/>
          <w:lang w:eastAsia="es-CL"/>
        </w:rPr>
        <w:drawing>
          <wp:inline distT="0" distB="0" distL="0" distR="0" wp14:anchorId="4BD27319" wp14:editId="4698E231">
            <wp:extent cx="3539950" cy="2656142"/>
            <wp:effectExtent l="0" t="0" r="3810" b="0"/>
            <wp:docPr id="193501311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88307" cy="2692426"/>
                    </a:xfrm>
                    <a:prstGeom prst="rect">
                      <a:avLst/>
                    </a:prstGeom>
                    <a:noFill/>
                    <a:ln>
                      <a:noFill/>
                    </a:ln>
                  </pic:spPr>
                </pic:pic>
              </a:graphicData>
            </a:graphic>
          </wp:inline>
        </w:drawing>
      </w:r>
    </w:p>
    <w:p w14:paraId="547A11CE" w14:textId="18734FF8" w:rsidR="00BE3F2E" w:rsidRDefault="00BE3F2E" w:rsidP="00BE3F2E">
      <w:r>
        <w:rPr>
          <w:noProof/>
          <w:lang w:eastAsia="es-CL"/>
        </w:rPr>
        <w:lastRenderedPageBreak/>
        <w:drawing>
          <wp:inline distT="0" distB="0" distL="0" distR="0" wp14:anchorId="696788BD" wp14:editId="7D768352">
            <wp:extent cx="2425937" cy="3233146"/>
            <wp:effectExtent l="0" t="0" r="0" b="5715"/>
            <wp:docPr id="128846838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2295" cy="3281601"/>
                    </a:xfrm>
                    <a:prstGeom prst="rect">
                      <a:avLst/>
                    </a:prstGeom>
                    <a:noFill/>
                    <a:ln>
                      <a:noFill/>
                    </a:ln>
                  </pic:spPr>
                </pic:pic>
              </a:graphicData>
            </a:graphic>
          </wp:inline>
        </w:drawing>
      </w:r>
      <w:r w:rsidR="00D47DF0">
        <w:t xml:space="preserve">    </w:t>
      </w:r>
      <w:r>
        <w:rPr>
          <w:noProof/>
          <w:lang w:eastAsia="es-CL"/>
        </w:rPr>
        <w:drawing>
          <wp:inline distT="0" distB="0" distL="0" distR="0" wp14:anchorId="3FD2FE39" wp14:editId="3BE5E45C">
            <wp:extent cx="2419176" cy="3224136"/>
            <wp:effectExtent l="0" t="0" r="635" b="0"/>
            <wp:docPr id="95787472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51996" cy="3267877"/>
                    </a:xfrm>
                    <a:prstGeom prst="rect">
                      <a:avLst/>
                    </a:prstGeom>
                    <a:noFill/>
                    <a:ln>
                      <a:noFill/>
                    </a:ln>
                  </pic:spPr>
                </pic:pic>
              </a:graphicData>
            </a:graphic>
          </wp:inline>
        </w:drawing>
      </w:r>
      <w:r w:rsidR="00D47DF0">
        <w:t xml:space="preserve">     </w:t>
      </w:r>
      <w:r w:rsidR="00BA72AA">
        <w:rPr>
          <w:noProof/>
          <w:lang w:eastAsia="es-CL"/>
        </w:rPr>
        <w:drawing>
          <wp:inline distT="0" distB="0" distL="0" distR="0" wp14:anchorId="1A918C16" wp14:editId="74B30FAC">
            <wp:extent cx="2442014" cy="3254571"/>
            <wp:effectExtent l="0" t="0" r="0" b="3175"/>
            <wp:docPr id="157569619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7548" cy="3301929"/>
                    </a:xfrm>
                    <a:prstGeom prst="rect">
                      <a:avLst/>
                    </a:prstGeom>
                    <a:noFill/>
                    <a:ln>
                      <a:noFill/>
                    </a:ln>
                  </pic:spPr>
                </pic:pic>
              </a:graphicData>
            </a:graphic>
          </wp:inline>
        </w:drawing>
      </w:r>
    </w:p>
    <w:p w14:paraId="6A09EFF0" w14:textId="2324FF36" w:rsidR="00BE3F2E" w:rsidRDefault="00BE3F2E" w:rsidP="00BE3F2E">
      <w:r>
        <w:rPr>
          <w:noProof/>
          <w:lang w:eastAsia="es-CL"/>
        </w:rPr>
        <w:lastRenderedPageBreak/>
        <w:drawing>
          <wp:inline distT="0" distB="0" distL="0" distR="0" wp14:anchorId="12247535" wp14:editId="35F3AF0C">
            <wp:extent cx="3590925" cy="4785773"/>
            <wp:effectExtent l="0" t="0" r="0" b="0"/>
            <wp:docPr id="121236247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31069" cy="4839275"/>
                    </a:xfrm>
                    <a:prstGeom prst="rect">
                      <a:avLst/>
                    </a:prstGeom>
                    <a:noFill/>
                    <a:ln>
                      <a:noFill/>
                    </a:ln>
                  </pic:spPr>
                </pic:pic>
              </a:graphicData>
            </a:graphic>
          </wp:inline>
        </w:drawing>
      </w:r>
      <w:r w:rsidR="00D47DF0">
        <w:t xml:space="preserve">     </w:t>
      </w:r>
      <w:r>
        <w:rPr>
          <w:noProof/>
          <w:lang w:eastAsia="es-CL"/>
        </w:rPr>
        <w:lastRenderedPageBreak/>
        <w:drawing>
          <wp:inline distT="0" distB="0" distL="0" distR="0" wp14:anchorId="762F4689" wp14:editId="2748FBE1">
            <wp:extent cx="3580140" cy="4771399"/>
            <wp:effectExtent l="0" t="0" r="1270" b="0"/>
            <wp:docPr id="157129569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18552" cy="4822592"/>
                    </a:xfrm>
                    <a:prstGeom prst="rect">
                      <a:avLst/>
                    </a:prstGeom>
                    <a:noFill/>
                    <a:ln>
                      <a:noFill/>
                    </a:ln>
                  </pic:spPr>
                </pic:pic>
              </a:graphicData>
            </a:graphic>
          </wp:inline>
        </w:drawing>
      </w:r>
    </w:p>
    <w:p w14:paraId="0659E208" w14:textId="1356316F" w:rsidR="00BA72AA" w:rsidRDefault="00BE3F2E" w:rsidP="00BE3F2E">
      <w:pPr>
        <w:rPr>
          <w:noProof/>
        </w:rPr>
      </w:pPr>
      <w:r>
        <w:rPr>
          <w:noProof/>
          <w:lang w:eastAsia="es-CL"/>
        </w:rPr>
        <w:lastRenderedPageBreak/>
        <w:drawing>
          <wp:inline distT="0" distB="0" distL="0" distR="0" wp14:anchorId="58031392" wp14:editId="41ECFE55">
            <wp:extent cx="3553592" cy="1999083"/>
            <wp:effectExtent l="0" t="0" r="8890" b="1270"/>
            <wp:docPr id="45925322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20810" cy="2036897"/>
                    </a:xfrm>
                    <a:prstGeom prst="rect">
                      <a:avLst/>
                    </a:prstGeom>
                    <a:noFill/>
                    <a:ln>
                      <a:noFill/>
                    </a:ln>
                  </pic:spPr>
                </pic:pic>
              </a:graphicData>
            </a:graphic>
          </wp:inline>
        </w:drawing>
      </w:r>
      <w:r w:rsidR="00D47DF0">
        <w:rPr>
          <w:noProof/>
        </w:rPr>
        <w:t xml:space="preserve">   </w:t>
      </w:r>
      <w:r>
        <w:rPr>
          <w:noProof/>
          <w:lang w:eastAsia="es-CL"/>
        </w:rPr>
        <w:drawing>
          <wp:inline distT="0" distB="0" distL="0" distR="0" wp14:anchorId="2CD5CF85" wp14:editId="1C53478F">
            <wp:extent cx="3537301" cy="1989915"/>
            <wp:effectExtent l="0" t="0" r="6350" b="0"/>
            <wp:docPr id="157479859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86424" cy="2017549"/>
                    </a:xfrm>
                    <a:prstGeom prst="rect">
                      <a:avLst/>
                    </a:prstGeom>
                    <a:noFill/>
                    <a:ln>
                      <a:noFill/>
                    </a:ln>
                  </pic:spPr>
                </pic:pic>
              </a:graphicData>
            </a:graphic>
          </wp:inline>
        </w:drawing>
      </w:r>
    </w:p>
    <w:p w14:paraId="513BCBC2" w14:textId="2581F9D3" w:rsidR="00BE3F2E" w:rsidRDefault="00BE3F2E" w:rsidP="00BE3F2E">
      <w:pPr>
        <w:rPr>
          <w:noProof/>
        </w:rPr>
      </w:pPr>
      <w:r>
        <w:rPr>
          <w:noProof/>
          <w:lang w:eastAsia="es-CL"/>
        </w:rPr>
        <w:lastRenderedPageBreak/>
        <w:drawing>
          <wp:inline distT="0" distB="0" distL="0" distR="0" wp14:anchorId="5238A0E2" wp14:editId="18C65187">
            <wp:extent cx="2702182" cy="4805149"/>
            <wp:effectExtent l="0" t="0" r="3175" b="0"/>
            <wp:docPr id="106076758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8585" cy="4816534"/>
                    </a:xfrm>
                    <a:prstGeom prst="rect">
                      <a:avLst/>
                    </a:prstGeom>
                    <a:noFill/>
                    <a:ln>
                      <a:noFill/>
                    </a:ln>
                  </pic:spPr>
                </pic:pic>
              </a:graphicData>
            </a:graphic>
          </wp:inline>
        </w:drawing>
      </w:r>
      <w:r>
        <w:rPr>
          <w:noProof/>
          <w:lang w:eastAsia="es-CL"/>
        </w:rPr>
        <w:drawing>
          <wp:inline distT="0" distB="0" distL="0" distR="0" wp14:anchorId="291F50BF" wp14:editId="74090308">
            <wp:extent cx="2232686" cy="4840143"/>
            <wp:effectExtent l="0" t="0" r="0" b="0"/>
            <wp:docPr id="128910253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70506" cy="4922132"/>
                    </a:xfrm>
                    <a:prstGeom prst="rect">
                      <a:avLst/>
                    </a:prstGeom>
                    <a:noFill/>
                    <a:ln>
                      <a:noFill/>
                    </a:ln>
                  </pic:spPr>
                </pic:pic>
              </a:graphicData>
            </a:graphic>
          </wp:inline>
        </w:drawing>
      </w:r>
      <w:r w:rsidRPr="00BE3F2E">
        <w:rPr>
          <w:noProof/>
        </w:rPr>
        <w:t xml:space="preserve"> </w:t>
      </w:r>
      <w:r>
        <w:rPr>
          <w:noProof/>
          <w:lang w:eastAsia="es-CL"/>
        </w:rPr>
        <w:lastRenderedPageBreak/>
        <w:drawing>
          <wp:inline distT="0" distB="0" distL="0" distR="0" wp14:anchorId="63E89A3B" wp14:editId="55E95905">
            <wp:extent cx="2247162" cy="4866688"/>
            <wp:effectExtent l="0" t="0" r="1270" b="0"/>
            <wp:docPr id="852378103"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96498" cy="4973534"/>
                    </a:xfrm>
                    <a:prstGeom prst="rect">
                      <a:avLst/>
                    </a:prstGeom>
                    <a:noFill/>
                    <a:ln>
                      <a:noFill/>
                    </a:ln>
                  </pic:spPr>
                </pic:pic>
              </a:graphicData>
            </a:graphic>
          </wp:inline>
        </w:drawing>
      </w:r>
    </w:p>
    <w:p w14:paraId="7E04AD7C" w14:textId="77777777" w:rsidR="00BE3F2E" w:rsidRDefault="00BE3F2E" w:rsidP="00BE3F2E">
      <w:r>
        <w:rPr>
          <w:noProof/>
          <w:lang w:eastAsia="es-CL"/>
        </w:rPr>
        <w:lastRenderedPageBreak/>
        <w:drawing>
          <wp:inline distT="0" distB="0" distL="0" distR="0" wp14:anchorId="70B5552D" wp14:editId="6F561ED2">
            <wp:extent cx="2266442" cy="4030294"/>
            <wp:effectExtent l="0" t="0" r="635" b="8890"/>
            <wp:docPr id="959026280"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01519" cy="4092669"/>
                    </a:xfrm>
                    <a:prstGeom prst="rect">
                      <a:avLst/>
                    </a:prstGeom>
                    <a:noFill/>
                    <a:ln>
                      <a:noFill/>
                    </a:ln>
                  </pic:spPr>
                </pic:pic>
              </a:graphicData>
            </a:graphic>
          </wp:inline>
        </w:drawing>
      </w:r>
      <w:r>
        <w:rPr>
          <w:noProof/>
          <w:lang w:eastAsia="es-CL"/>
        </w:rPr>
        <w:drawing>
          <wp:inline distT="0" distB="0" distL="0" distR="0" wp14:anchorId="240B0AF1" wp14:editId="320E72C8">
            <wp:extent cx="2252537" cy="4004140"/>
            <wp:effectExtent l="0" t="0" r="0" b="0"/>
            <wp:docPr id="85069865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92397" cy="4074995"/>
                    </a:xfrm>
                    <a:prstGeom prst="rect">
                      <a:avLst/>
                    </a:prstGeom>
                    <a:noFill/>
                    <a:ln>
                      <a:noFill/>
                    </a:ln>
                  </pic:spPr>
                </pic:pic>
              </a:graphicData>
            </a:graphic>
          </wp:inline>
        </w:drawing>
      </w:r>
      <w:r>
        <w:rPr>
          <w:noProof/>
          <w:lang w:eastAsia="es-CL"/>
        </w:rPr>
        <w:drawing>
          <wp:inline distT="0" distB="0" distL="0" distR="0" wp14:anchorId="25861214" wp14:editId="085B4FBB">
            <wp:extent cx="2253323" cy="4005538"/>
            <wp:effectExtent l="0" t="0" r="0" b="0"/>
            <wp:docPr id="172948090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18925" cy="4122153"/>
                    </a:xfrm>
                    <a:prstGeom prst="rect">
                      <a:avLst/>
                    </a:prstGeom>
                    <a:noFill/>
                    <a:ln>
                      <a:noFill/>
                    </a:ln>
                  </pic:spPr>
                </pic:pic>
              </a:graphicData>
            </a:graphic>
          </wp:inline>
        </w:drawing>
      </w:r>
    </w:p>
    <w:p w14:paraId="1E62DB61" w14:textId="771E3838" w:rsidR="00BE3F2E" w:rsidRDefault="00A720A2" w:rsidP="00BE3F2E">
      <w:r>
        <w:rPr>
          <w:noProof/>
          <w:lang w:eastAsia="es-CL"/>
        </w:rPr>
        <w:lastRenderedPageBreak/>
        <w:drawing>
          <wp:inline distT="0" distB="0" distL="0" distR="0" wp14:anchorId="319549C3" wp14:editId="473B9AAD">
            <wp:extent cx="3586383" cy="2017528"/>
            <wp:effectExtent l="0" t="0" r="0" b="1905"/>
            <wp:docPr id="2031686328"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52619" cy="2054789"/>
                    </a:xfrm>
                    <a:prstGeom prst="rect">
                      <a:avLst/>
                    </a:prstGeom>
                    <a:noFill/>
                    <a:ln>
                      <a:noFill/>
                    </a:ln>
                  </pic:spPr>
                </pic:pic>
              </a:graphicData>
            </a:graphic>
          </wp:inline>
        </w:drawing>
      </w:r>
      <w:r>
        <w:t xml:space="preserve">   </w:t>
      </w:r>
      <w:r w:rsidR="00BE3F2E">
        <w:rPr>
          <w:noProof/>
          <w:lang w:eastAsia="es-CL"/>
        </w:rPr>
        <w:drawing>
          <wp:inline distT="0" distB="0" distL="0" distR="0" wp14:anchorId="245B50C0" wp14:editId="33275E59">
            <wp:extent cx="3583928" cy="2016146"/>
            <wp:effectExtent l="0" t="0" r="0" b="3175"/>
            <wp:docPr id="171289224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V="1">
                      <a:off x="0" y="0"/>
                      <a:ext cx="3657812" cy="2057710"/>
                    </a:xfrm>
                    <a:prstGeom prst="rect">
                      <a:avLst/>
                    </a:prstGeom>
                    <a:noFill/>
                    <a:ln>
                      <a:noFill/>
                    </a:ln>
                  </pic:spPr>
                </pic:pic>
              </a:graphicData>
            </a:graphic>
          </wp:inline>
        </w:drawing>
      </w:r>
      <w:r w:rsidR="00BA72AA">
        <w:t xml:space="preserve">   </w:t>
      </w:r>
      <w:r w:rsidR="00BE3F2E">
        <w:rPr>
          <w:noProof/>
          <w:lang w:eastAsia="es-CL"/>
        </w:rPr>
        <w:drawing>
          <wp:inline distT="0" distB="0" distL="0" distR="0" wp14:anchorId="472344A3" wp14:editId="3ACBAFE3">
            <wp:extent cx="3583928" cy="2016147"/>
            <wp:effectExtent l="0" t="0" r="0" b="3175"/>
            <wp:docPr id="43074404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05206" cy="2028117"/>
                    </a:xfrm>
                    <a:prstGeom prst="rect">
                      <a:avLst/>
                    </a:prstGeom>
                    <a:noFill/>
                    <a:ln>
                      <a:noFill/>
                    </a:ln>
                  </pic:spPr>
                </pic:pic>
              </a:graphicData>
            </a:graphic>
          </wp:inline>
        </w:drawing>
      </w:r>
      <w:r>
        <w:t xml:space="preserve">   </w:t>
      </w:r>
      <w:r w:rsidR="00BE3F2E">
        <w:rPr>
          <w:noProof/>
          <w:lang w:eastAsia="es-CL"/>
        </w:rPr>
        <w:lastRenderedPageBreak/>
        <w:drawing>
          <wp:inline distT="0" distB="0" distL="0" distR="0" wp14:anchorId="2263BE9A" wp14:editId="5D5FAF0F">
            <wp:extent cx="3566279" cy="2006218"/>
            <wp:effectExtent l="0" t="0" r="0" b="0"/>
            <wp:docPr id="1528672772"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27621" cy="2040726"/>
                    </a:xfrm>
                    <a:prstGeom prst="rect">
                      <a:avLst/>
                    </a:prstGeom>
                    <a:noFill/>
                    <a:ln>
                      <a:noFill/>
                    </a:ln>
                  </pic:spPr>
                </pic:pic>
              </a:graphicData>
            </a:graphic>
          </wp:inline>
        </w:drawing>
      </w:r>
      <w:r w:rsidR="00BA72AA">
        <w:t xml:space="preserve">   </w:t>
      </w:r>
      <w:r w:rsidR="00BE3F2E">
        <w:rPr>
          <w:noProof/>
          <w:lang w:eastAsia="es-CL"/>
        </w:rPr>
        <w:drawing>
          <wp:inline distT="0" distB="0" distL="0" distR="0" wp14:anchorId="2EB4DD75" wp14:editId="69BE4B49">
            <wp:extent cx="4071938" cy="2290677"/>
            <wp:effectExtent l="0" t="0" r="5080" b="0"/>
            <wp:docPr id="599893389"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36376" cy="2326927"/>
                    </a:xfrm>
                    <a:prstGeom prst="rect">
                      <a:avLst/>
                    </a:prstGeom>
                    <a:noFill/>
                    <a:ln>
                      <a:noFill/>
                    </a:ln>
                  </pic:spPr>
                </pic:pic>
              </a:graphicData>
            </a:graphic>
          </wp:inline>
        </w:drawing>
      </w:r>
    </w:p>
    <w:p w14:paraId="73DBB737" w14:textId="77777777" w:rsidR="005F0093" w:rsidRDefault="005F0093" w:rsidP="00EB4B19"/>
    <w:p w14:paraId="2999EBCD" w14:textId="77777777" w:rsidR="003E09ED" w:rsidRPr="00E97C11" w:rsidRDefault="003E09ED" w:rsidP="00E97C11">
      <w:pPr>
        <w:rPr>
          <w:b/>
          <w:bCs/>
        </w:rPr>
      </w:pPr>
    </w:p>
    <w:p w14:paraId="24BA7888" w14:textId="77777777" w:rsidR="00E97C11" w:rsidRDefault="00E97C11">
      <w:bookmarkStart w:id="0" w:name="_GoBack"/>
      <w:bookmarkEnd w:id="0"/>
    </w:p>
    <w:sectPr w:rsidR="00E97C11">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73202"/>
    <w:multiLevelType w:val="multilevel"/>
    <w:tmpl w:val="585C1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C3640E"/>
    <w:multiLevelType w:val="multilevel"/>
    <w:tmpl w:val="97923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8E337B4"/>
    <w:multiLevelType w:val="multilevel"/>
    <w:tmpl w:val="69683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F4E235D"/>
    <w:multiLevelType w:val="multilevel"/>
    <w:tmpl w:val="CD70E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F6E7918"/>
    <w:multiLevelType w:val="multilevel"/>
    <w:tmpl w:val="CD70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3522622"/>
    <w:multiLevelType w:val="multilevel"/>
    <w:tmpl w:val="CD70E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AF16138"/>
    <w:multiLevelType w:val="multilevel"/>
    <w:tmpl w:val="C0FE6A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EC059BE"/>
    <w:multiLevelType w:val="multilevel"/>
    <w:tmpl w:val="CD70E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4"/>
  </w:num>
  <w:num w:numId="4">
    <w:abstractNumId w:val="1"/>
  </w:num>
  <w:num w:numId="5">
    <w:abstractNumId w:val="6"/>
  </w:num>
  <w:num w:numId="6">
    <w:abstractNumId w:val="5"/>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7C11"/>
    <w:rsid w:val="000643B1"/>
    <w:rsid w:val="000D3A59"/>
    <w:rsid w:val="00266C38"/>
    <w:rsid w:val="00294633"/>
    <w:rsid w:val="002A678C"/>
    <w:rsid w:val="002B6E56"/>
    <w:rsid w:val="003E09ED"/>
    <w:rsid w:val="004C0387"/>
    <w:rsid w:val="005F0093"/>
    <w:rsid w:val="005F4818"/>
    <w:rsid w:val="005F4E0C"/>
    <w:rsid w:val="006D67DD"/>
    <w:rsid w:val="007E0501"/>
    <w:rsid w:val="008012FC"/>
    <w:rsid w:val="00820386"/>
    <w:rsid w:val="008A04F0"/>
    <w:rsid w:val="008B0C49"/>
    <w:rsid w:val="009064B9"/>
    <w:rsid w:val="00943325"/>
    <w:rsid w:val="0096799C"/>
    <w:rsid w:val="0098081E"/>
    <w:rsid w:val="009B151F"/>
    <w:rsid w:val="00A720A2"/>
    <w:rsid w:val="00AA6188"/>
    <w:rsid w:val="00B60ADE"/>
    <w:rsid w:val="00BA72AA"/>
    <w:rsid w:val="00BE3F2E"/>
    <w:rsid w:val="00BE6B3E"/>
    <w:rsid w:val="00C85256"/>
    <w:rsid w:val="00D14A35"/>
    <w:rsid w:val="00D47DF0"/>
    <w:rsid w:val="00D82B4F"/>
    <w:rsid w:val="00DC151E"/>
    <w:rsid w:val="00DF1167"/>
    <w:rsid w:val="00E979A5"/>
    <w:rsid w:val="00E97C11"/>
    <w:rsid w:val="00EB4B19"/>
    <w:rsid w:val="00EC2C6C"/>
    <w:rsid w:val="00F64B1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4FADA3"/>
  <w15:chartTrackingRefBased/>
  <w15:docId w15:val="{A538CC30-66D6-45E7-8D7F-7BC8C6861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s-CL"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E97C1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E97C1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E97C1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E97C1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E97C1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E97C1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E97C1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97C1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97C1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97C1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E97C1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E97C1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E97C1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E97C1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E97C1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97C1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97C1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97C11"/>
    <w:rPr>
      <w:rFonts w:eastAsiaTheme="majorEastAsia" w:cstheme="majorBidi"/>
      <w:color w:val="272727" w:themeColor="text1" w:themeTint="D8"/>
    </w:rPr>
  </w:style>
  <w:style w:type="paragraph" w:styleId="Ttulo">
    <w:name w:val="Title"/>
    <w:basedOn w:val="Normal"/>
    <w:next w:val="Normal"/>
    <w:link w:val="TtuloCar"/>
    <w:uiPriority w:val="10"/>
    <w:qFormat/>
    <w:rsid w:val="00E97C1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97C1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E97C11"/>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E97C1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97C11"/>
    <w:pPr>
      <w:spacing w:before="160"/>
      <w:jc w:val="center"/>
    </w:pPr>
    <w:rPr>
      <w:i/>
      <w:iCs/>
      <w:color w:val="404040" w:themeColor="text1" w:themeTint="BF"/>
    </w:rPr>
  </w:style>
  <w:style w:type="character" w:customStyle="1" w:styleId="CitaCar">
    <w:name w:val="Cita Car"/>
    <w:basedOn w:val="Fuentedeprrafopredeter"/>
    <w:link w:val="Cita"/>
    <w:uiPriority w:val="29"/>
    <w:rsid w:val="00E97C11"/>
    <w:rPr>
      <w:i/>
      <w:iCs/>
      <w:color w:val="404040" w:themeColor="text1" w:themeTint="BF"/>
    </w:rPr>
  </w:style>
  <w:style w:type="paragraph" w:styleId="Prrafodelista">
    <w:name w:val="List Paragraph"/>
    <w:basedOn w:val="Normal"/>
    <w:uiPriority w:val="34"/>
    <w:qFormat/>
    <w:rsid w:val="00E97C11"/>
    <w:pPr>
      <w:ind w:left="720"/>
      <w:contextualSpacing/>
    </w:pPr>
  </w:style>
  <w:style w:type="character" w:styleId="nfasisintenso">
    <w:name w:val="Intense Emphasis"/>
    <w:basedOn w:val="Fuentedeprrafopredeter"/>
    <w:uiPriority w:val="21"/>
    <w:qFormat/>
    <w:rsid w:val="00E97C11"/>
    <w:rPr>
      <w:i/>
      <w:iCs/>
      <w:color w:val="0F4761" w:themeColor="accent1" w:themeShade="BF"/>
    </w:rPr>
  </w:style>
  <w:style w:type="paragraph" w:styleId="Citadestacada">
    <w:name w:val="Intense Quote"/>
    <w:basedOn w:val="Normal"/>
    <w:next w:val="Normal"/>
    <w:link w:val="CitadestacadaCar"/>
    <w:uiPriority w:val="30"/>
    <w:qFormat/>
    <w:rsid w:val="00E97C1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97C11"/>
    <w:rPr>
      <w:i/>
      <w:iCs/>
      <w:color w:val="0F4761" w:themeColor="accent1" w:themeShade="BF"/>
    </w:rPr>
  </w:style>
  <w:style w:type="character" w:styleId="Referenciaintensa">
    <w:name w:val="Intense Reference"/>
    <w:basedOn w:val="Fuentedeprrafopredeter"/>
    <w:uiPriority w:val="32"/>
    <w:qFormat/>
    <w:rsid w:val="00E97C11"/>
    <w:rPr>
      <w:b/>
      <w:bCs/>
      <w:smallCaps/>
      <w:color w:val="0F4761" w:themeColor="accent1" w:themeShade="BF"/>
      <w:spacing w:val="5"/>
    </w:rPr>
  </w:style>
  <w:style w:type="paragraph" w:customStyle="1" w:styleId="ds-markdown-paragraph">
    <w:name w:val="ds-markdown-paragraph"/>
    <w:basedOn w:val="Normal"/>
    <w:rsid w:val="0096799C"/>
    <w:pPr>
      <w:spacing w:before="100" w:beforeAutospacing="1" w:after="100" w:afterAutospacing="1" w:line="240" w:lineRule="auto"/>
    </w:pPr>
    <w:rPr>
      <w:rFonts w:ascii="Times New Roman" w:eastAsia="Times New Roman" w:hAnsi="Times New Roman" w:cs="Times New Roman"/>
      <w:kern w:val="0"/>
      <w:lang w:eastAsia="es-CL"/>
      <w14:ligatures w14:val="none"/>
    </w:rPr>
  </w:style>
  <w:style w:type="character" w:styleId="Textoennegrita">
    <w:name w:val="Strong"/>
    <w:basedOn w:val="Fuentedeprrafopredeter"/>
    <w:uiPriority w:val="22"/>
    <w:qFormat/>
    <w:rsid w:val="0096799C"/>
    <w:rPr>
      <w:b/>
      <w:bCs/>
    </w:rPr>
  </w:style>
  <w:style w:type="character" w:styleId="nfasis">
    <w:name w:val="Emphasis"/>
    <w:basedOn w:val="Fuentedeprrafopredeter"/>
    <w:uiPriority w:val="20"/>
    <w:qFormat/>
    <w:rsid w:val="0096799C"/>
    <w:rPr>
      <w:i/>
      <w:iCs/>
    </w:rPr>
  </w:style>
  <w:style w:type="character" w:styleId="Hipervnculo">
    <w:name w:val="Hyperlink"/>
    <w:basedOn w:val="Fuentedeprrafopredeter"/>
    <w:uiPriority w:val="99"/>
    <w:unhideWhenUsed/>
    <w:rsid w:val="003E09ED"/>
    <w:rPr>
      <w:color w:val="467886" w:themeColor="hyperlink"/>
      <w:u w:val="single"/>
    </w:rPr>
  </w:style>
  <w:style w:type="character" w:customStyle="1" w:styleId="UnresolvedMention">
    <w:name w:val="Unresolved Mention"/>
    <w:basedOn w:val="Fuentedeprrafopredeter"/>
    <w:uiPriority w:val="99"/>
    <w:semiHidden/>
    <w:unhideWhenUsed/>
    <w:rsid w:val="003E09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numbering" Target="numbering.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hyperlink" Target="mailto:luisalfredoarayaaracena@gmail.com" TargetMode="External"/><Relationship Id="rId3" Type="http://schemas.openxmlformats.org/officeDocument/2006/relationships/customXml" Target="../customXml/item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74A9330BA41E147B3D38D5219FC777E" ma:contentTypeVersion="11" ma:contentTypeDescription="Create a new document." ma:contentTypeScope="" ma:versionID="9c17aff521e01e753b5ddb866e662f83">
  <xsd:schema xmlns:xsd="http://www.w3.org/2001/XMLSchema" xmlns:xs="http://www.w3.org/2001/XMLSchema" xmlns:p="http://schemas.microsoft.com/office/2006/metadata/properties" xmlns:ns3="7499d70a-de0a-4364-83b3-bba7c431ef49" targetNamespace="http://schemas.microsoft.com/office/2006/metadata/properties" ma:root="true" ma:fieldsID="a625383b6a5f264085d2e126dfeb02a5" ns3:_="">
    <xsd:import namespace="7499d70a-de0a-4364-83b3-bba7c431ef49"/>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MediaLengthInSeconds" minOccurs="0"/>
                <xsd:element ref="ns3:_activity"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99d70a-de0a-4364-83b3-bba7c431ef49"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_activity" ma:index="17" nillable="true" ma:displayName="_activity" ma:hidden="true" ma:internalName="_activity">
      <xsd:simpleType>
        <xsd:restriction base="dms:Note"/>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7499d70a-de0a-4364-83b3-bba7c431ef49" xsi:nil="true"/>
  </documentManagement>
</p:properties>
</file>

<file path=customXml/itemProps1.xml><?xml version="1.0" encoding="utf-8"?>
<ds:datastoreItem xmlns:ds="http://schemas.openxmlformats.org/officeDocument/2006/customXml" ds:itemID="{0FB40CB5-E066-4868-B030-F48A626256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99d70a-de0a-4364-83b3-bba7c431ef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DAE8BFA-B066-4FC5-825C-7BC02D57EAE8}">
  <ds:schemaRefs>
    <ds:schemaRef ds:uri="http://schemas.microsoft.com/sharepoint/v3/contenttype/forms"/>
  </ds:schemaRefs>
</ds:datastoreItem>
</file>

<file path=customXml/itemProps3.xml><?xml version="1.0" encoding="utf-8"?>
<ds:datastoreItem xmlns:ds="http://schemas.openxmlformats.org/officeDocument/2006/customXml" ds:itemID="{D616F0D0-F98D-42BD-9536-5ADB2E511938}">
  <ds:schemaRefs>
    <ds:schemaRef ds:uri="http://schemas.microsoft.com/office/2006/documentManagement/types"/>
    <ds:schemaRef ds:uri="http://purl.org/dc/elements/1.1/"/>
    <ds:schemaRef ds:uri="http://purl.org/dc/terms/"/>
    <ds:schemaRef ds:uri="http://schemas.microsoft.com/office/infopath/2007/PartnerControls"/>
    <ds:schemaRef ds:uri="7499d70a-de0a-4364-83b3-bba7c431ef49"/>
    <ds:schemaRef ds:uri="http://www.w3.org/XML/1998/namespace"/>
    <ds:schemaRef ds:uri="http://schemas.openxmlformats.org/package/2006/metadata/core-properties"/>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2332</Words>
  <Characters>12829</Characters>
  <Application>Microsoft Office Word</Application>
  <DocSecurity>0</DocSecurity>
  <Lines>106</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Araya</dc:creator>
  <cp:keywords/>
  <dc:description/>
  <cp:lastModifiedBy>Alfredo Mauricio Pizarro Arce</cp:lastModifiedBy>
  <cp:revision>4</cp:revision>
  <cp:lastPrinted>2025-11-10T22:14:00Z</cp:lastPrinted>
  <dcterms:created xsi:type="dcterms:W3CDTF">2025-12-09T21:06:00Z</dcterms:created>
  <dcterms:modified xsi:type="dcterms:W3CDTF">2025-12-09T21:07:00Z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0x010100774A9330BA41E147B3D38D5219FC777E</vt:lpwstr>
  </property>
</Properties>
</file>